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D9B" w:rsidRPr="001810E1" w:rsidRDefault="00B3349A" w:rsidP="00DC0524">
      <w:pPr>
        <w:jc w:val="center"/>
        <w:rPr>
          <w:rFonts w:asciiTheme="majorBidi" w:hAnsiTheme="majorBidi" w:cstheme="majorBidi"/>
          <w:b/>
          <w:bCs/>
          <w:sz w:val="32"/>
          <w:szCs w:val="32"/>
        </w:rPr>
      </w:pPr>
      <w:r>
        <w:rPr>
          <w:rFonts w:asciiTheme="majorBidi" w:hAnsiTheme="majorBidi" w:cstheme="majorBidi"/>
          <w:b/>
          <w:bCs/>
          <w:sz w:val="32"/>
          <w:szCs w:val="32"/>
        </w:rPr>
        <w:t xml:space="preserve">Ecological </w:t>
      </w:r>
      <w:r w:rsidR="00DC0524">
        <w:rPr>
          <w:rFonts w:asciiTheme="majorBidi" w:hAnsiTheme="majorBidi" w:cstheme="majorBidi"/>
          <w:b/>
          <w:bCs/>
          <w:sz w:val="32"/>
          <w:szCs w:val="32"/>
        </w:rPr>
        <w:t>Indices</w:t>
      </w:r>
      <w:r>
        <w:rPr>
          <w:rFonts w:asciiTheme="majorBidi" w:hAnsiTheme="majorBidi" w:cstheme="majorBidi"/>
          <w:b/>
          <w:bCs/>
          <w:sz w:val="32"/>
          <w:szCs w:val="32"/>
        </w:rPr>
        <w:t xml:space="preserve"> of </w:t>
      </w:r>
      <w:r w:rsidR="00DC0524">
        <w:rPr>
          <w:rFonts w:asciiTheme="majorBidi" w:hAnsiTheme="majorBidi" w:cstheme="majorBidi"/>
          <w:b/>
          <w:bCs/>
          <w:sz w:val="32"/>
          <w:szCs w:val="32"/>
        </w:rPr>
        <w:t xml:space="preserve">the </w:t>
      </w:r>
      <w:r>
        <w:rPr>
          <w:rFonts w:asciiTheme="majorBidi" w:hAnsiTheme="majorBidi" w:cstheme="majorBidi"/>
          <w:b/>
          <w:bCs/>
          <w:sz w:val="32"/>
          <w:szCs w:val="32"/>
        </w:rPr>
        <w:t xml:space="preserve">Heavy Metals </w:t>
      </w:r>
      <w:r w:rsidR="00882B16" w:rsidRPr="00882B16">
        <w:rPr>
          <w:rFonts w:asciiTheme="majorBidi" w:hAnsiTheme="majorBidi" w:cstheme="majorBidi"/>
          <w:b/>
          <w:bCs/>
          <w:sz w:val="32"/>
          <w:szCs w:val="32"/>
        </w:rPr>
        <w:t xml:space="preserve">in </w:t>
      </w:r>
      <w:r w:rsidR="00DC0524">
        <w:rPr>
          <w:rFonts w:asciiTheme="majorBidi" w:hAnsiTheme="majorBidi" w:cstheme="majorBidi"/>
          <w:b/>
          <w:bCs/>
          <w:sz w:val="32"/>
          <w:szCs w:val="32"/>
        </w:rPr>
        <w:t xml:space="preserve">the Soil                                      of </w:t>
      </w:r>
      <w:r w:rsidR="00016CA0">
        <w:rPr>
          <w:rFonts w:asciiTheme="majorBidi" w:hAnsiTheme="majorBidi" w:cstheme="majorBidi"/>
          <w:b/>
          <w:bCs/>
          <w:sz w:val="32"/>
          <w:szCs w:val="32"/>
        </w:rPr>
        <w:t>S</w:t>
      </w:r>
      <w:r w:rsidR="00882B16" w:rsidRPr="00882B16">
        <w:rPr>
          <w:rFonts w:asciiTheme="majorBidi" w:hAnsiTheme="majorBidi" w:cstheme="majorBidi"/>
          <w:b/>
          <w:bCs/>
          <w:sz w:val="32"/>
          <w:szCs w:val="32"/>
        </w:rPr>
        <w:t xml:space="preserve">hewasoor </w:t>
      </w:r>
      <w:r>
        <w:rPr>
          <w:rFonts w:asciiTheme="majorBidi" w:hAnsiTheme="majorBidi" w:cstheme="majorBidi"/>
          <w:b/>
          <w:bCs/>
          <w:sz w:val="32"/>
          <w:szCs w:val="32"/>
        </w:rPr>
        <w:t>Sub-</w:t>
      </w:r>
      <w:r w:rsidR="005635ED">
        <w:rPr>
          <w:rFonts w:asciiTheme="majorBidi" w:hAnsiTheme="majorBidi" w:cstheme="majorBidi"/>
          <w:b/>
          <w:bCs/>
          <w:sz w:val="32"/>
          <w:szCs w:val="32"/>
        </w:rPr>
        <w:t>B</w:t>
      </w:r>
      <w:r>
        <w:rPr>
          <w:rFonts w:asciiTheme="majorBidi" w:hAnsiTheme="majorBidi" w:cstheme="majorBidi"/>
          <w:b/>
          <w:bCs/>
          <w:sz w:val="32"/>
          <w:szCs w:val="32"/>
        </w:rPr>
        <w:t>asin</w:t>
      </w:r>
      <w:r w:rsidR="00882B16" w:rsidRPr="00882B16">
        <w:rPr>
          <w:rFonts w:asciiTheme="majorBidi" w:hAnsiTheme="majorBidi" w:cstheme="majorBidi"/>
          <w:b/>
          <w:bCs/>
          <w:sz w:val="32"/>
          <w:szCs w:val="32"/>
        </w:rPr>
        <w:t xml:space="preserve">, Kirkuk/ NE Iraq </w:t>
      </w:r>
    </w:p>
    <w:p w:rsidR="00D56DCE" w:rsidRDefault="00D14D9B" w:rsidP="00D14D9B">
      <w:pPr>
        <w:jc w:val="center"/>
        <w:rPr>
          <w:rFonts w:asciiTheme="majorBidi" w:hAnsiTheme="majorBidi" w:cstheme="majorBidi"/>
          <w:sz w:val="24"/>
          <w:szCs w:val="24"/>
          <w:vertAlign w:val="superscript"/>
        </w:rPr>
      </w:pPr>
      <w:r w:rsidRPr="00D14D9B">
        <w:rPr>
          <w:rFonts w:asciiTheme="majorBidi" w:hAnsiTheme="majorBidi" w:cstheme="majorBidi"/>
          <w:sz w:val="24"/>
          <w:szCs w:val="24"/>
        </w:rPr>
        <w:t xml:space="preserve"> </w:t>
      </w:r>
      <w:r w:rsidRPr="00D14D9B">
        <w:rPr>
          <w:rFonts w:asciiTheme="majorBidi" w:hAnsiTheme="majorBidi" w:cstheme="majorBidi"/>
          <w:b/>
          <w:bCs/>
          <w:sz w:val="24"/>
          <w:szCs w:val="24"/>
        </w:rPr>
        <w:t>Omer S.</w:t>
      </w:r>
      <w:r>
        <w:rPr>
          <w:rFonts w:asciiTheme="majorBidi" w:hAnsiTheme="majorBidi" w:cstheme="majorBidi"/>
          <w:b/>
          <w:bCs/>
          <w:sz w:val="24"/>
          <w:szCs w:val="24"/>
        </w:rPr>
        <w:t xml:space="preserve"> </w:t>
      </w:r>
      <w:r w:rsidRPr="00D14D9B">
        <w:rPr>
          <w:rFonts w:asciiTheme="majorBidi" w:hAnsiTheme="majorBidi" w:cstheme="majorBidi"/>
          <w:b/>
          <w:bCs/>
          <w:sz w:val="24"/>
          <w:szCs w:val="24"/>
        </w:rPr>
        <w:t>Al-Tamimi</w:t>
      </w:r>
      <w:r>
        <w:rPr>
          <w:rFonts w:asciiTheme="majorBidi" w:hAnsiTheme="majorBidi" w:cstheme="majorBidi"/>
          <w:b/>
          <w:bCs/>
          <w:sz w:val="24"/>
          <w:szCs w:val="24"/>
          <w:vertAlign w:val="superscript"/>
        </w:rPr>
        <w:t xml:space="preserve"> </w:t>
      </w:r>
      <w:r w:rsidR="00DC0524">
        <w:rPr>
          <w:rFonts w:asciiTheme="majorBidi" w:hAnsiTheme="majorBidi" w:cstheme="majorBidi"/>
          <w:sz w:val="24"/>
          <w:szCs w:val="24"/>
          <w:vertAlign w:val="superscript"/>
        </w:rPr>
        <w:t>1</w:t>
      </w:r>
      <w:r w:rsidR="00DC0524" w:rsidRPr="00DC0524">
        <w:rPr>
          <w:rFonts w:asciiTheme="majorBidi" w:hAnsiTheme="majorBidi" w:cstheme="majorBidi"/>
          <w:b/>
          <w:bCs/>
          <w:sz w:val="24"/>
          <w:szCs w:val="24"/>
        </w:rPr>
        <w:t xml:space="preserve"> </w:t>
      </w:r>
      <w:r w:rsidR="00DC0524">
        <w:rPr>
          <w:rFonts w:asciiTheme="majorBidi" w:hAnsiTheme="majorBidi" w:cstheme="majorBidi"/>
          <w:b/>
          <w:bCs/>
          <w:sz w:val="24"/>
          <w:szCs w:val="24"/>
        </w:rPr>
        <w:t>and Mustafa J. A. Ali</w:t>
      </w:r>
      <w:r w:rsidR="00DC0524">
        <w:rPr>
          <w:rFonts w:asciiTheme="majorBidi" w:hAnsiTheme="majorBidi" w:cstheme="majorBidi"/>
          <w:sz w:val="24"/>
          <w:szCs w:val="24"/>
          <w:vertAlign w:val="superscript"/>
        </w:rPr>
        <w:t xml:space="preserve"> 2</w:t>
      </w:r>
      <w:r w:rsidR="00DC0524">
        <w:rPr>
          <w:rFonts w:asciiTheme="majorBidi" w:hAnsiTheme="majorBidi" w:cstheme="majorBidi"/>
          <w:b/>
          <w:bCs/>
          <w:sz w:val="24"/>
          <w:szCs w:val="24"/>
        </w:rPr>
        <w:t xml:space="preserve"> </w:t>
      </w:r>
      <w:r>
        <w:rPr>
          <w:rFonts w:asciiTheme="majorBidi" w:hAnsiTheme="majorBidi" w:cstheme="majorBidi"/>
          <w:sz w:val="24"/>
          <w:szCs w:val="24"/>
        </w:rPr>
        <w:t xml:space="preserve"> </w:t>
      </w:r>
    </w:p>
    <w:p w:rsidR="00DC0524" w:rsidRPr="00DC0524" w:rsidRDefault="00DC0524" w:rsidP="00DC0524">
      <w:pPr>
        <w:jc w:val="center"/>
        <w:rPr>
          <w:rFonts w:asciiTheme="majorBidi" w:hAnsiTheme="majorBidi" w:cstheme="majorBidi"/>
          <w:i/>
          <w:iCs/>
          <w:sz w:val="24"/>
          <w:szCs w:val="24"/>
        </w:rPr>
      </w:pPr>
      <w:r>
        <w:rPr>
          <w:rFonts w:asciiTheme="majorBidi" w:hAnsiTheme="majorBidi" w:cstheme="majorBidi"/>
          <w:i/>
          <w:iCs/>
          <w:sz w:val="24"/>
          <w:szCs w:val="24"/>
          <w:vertAlign w:val="superscript"/>
        </w:rPr>
        <w:t>1</w:t>
      </w:r>
      <w:r>
        <w:rPr>
          <w:rFonts w:asciiTheme="majorBidi" w:hAnsiTheme="majorBidi" w:cstheme="majorBidi"/>
          <w:i/>
          <w:iCs/>
          <w:sz w:val="24"/>
          <w:szCs w:val="24"/>
        </w:rPr>
        <w:t>Head of Environmental Research Unit, College of Science, University of Kirkuk, Kirkuk/ Iraq</w:t>
      </w:r>
    </w:p>
    <w:p w:rsidR="00313E7F" w:rsidRDefault="00DC0524" w:rsidP="00C329A3">
      <w:pPr>
        <w:jc w:val="center"/>
        <w:rPr>
          <w:rFonts w:asciiTheme="majorBidi" w:hAnsiTheme="majorBidi" w:cstheme="majorBidi"/>
          <w:i/>
          <w:iCs/>
          <w:sz w:val="24"/>
          <w:szCs w:val="24"/>
        </w:rPr>
      </w:pPr>
      <w:r>
        <w:rPr>
          <w:rFonts w:asciiTheme="majorBidi" w:hAnsiTheme="majorBidi" w:cstheme="majorBidi"/>
          <w:i/>
          <w:iCs/>
          <w:sz w:val="24"/>
          <w:szCs w:val="24"/>
          <w:vertAlign w:val="superscript"/>
        </w:rPr>
        <w:t>2</w:t>
      </w:r>
      <w:r w:rsidR="00A204ED">
        <w:rPr>
          <w:rFonts w:asciiTheme="majorBidi" w:hAnsiTheme="majorBidi" w:cstheme="majorBidi"/>
          <w:i/>
          <w:iCs/>
          <w:sz w:val="24"/>
          <w:szCs w:val="24"/>
        </w:rPr>
        <w:t xml:space="preserve">Master Student </w:t>
      </w:r>
      <w:r w:rsidR="0077350C">
        <w:rPr>
          <w:rFonts w:asciiTheme="majorBidi" w:hAnsiTheme="majorBidi" w:cstheme="majorBidi"/>
          <w:i/>
          <w:iCs/>
          <w:sz w:val="24"/>
          <w:szCs w:val="24"/>
        </w:rPr>
        <w:t>at</w:t>
      </w:r>
      <w:r w:rsidR="0089611B">
        <w:rPr>
          <w:rFonts w:asciiTheme="majorBidi" w:hAnsiTheme="majorBidi" w:cstheme="majorBidi"/>
          <w:i/>
          <w:iCs/>
          <w:sz w:val="24"/>
          <w:szCs w:val="24"/>
        </w:rPr>
        <w:t xml:space="preserve"> </w:t>
      </w:r>
      <w:r w:rsidR="00EF543D">
        <w:rPr>
          <w:rFonts w:asciiTheme="majorBidi" w:hAnsiTheme="majorBidi" w:cstheme="majorBidi"/>
          <w:i/>
          <w:iCs/>
          <w:sz w:val="24"/>
          <w:szCs w:val="24"/>
        </w:rPr>
        <w:t xml:space="preserve">Department of Applied Geology, College of Science, </w:t>
      </w:r>
      <w:r w:rsidR="00EF543D" w:rsidRPr="00EF543D">
        <w:rPr>
          <w:rFonts w:asciiTheme="majorBidi" w:hAnsiTheme="majorBidi" w:cstheme="majorBidi"/>
          <w:i/>
          <w:iCs/>
          <w:sz w:val="24"/>
          <w:szCs w:val="24"/>
        </w:rPr>
        <w:t>University of Kirkuk, Kirkuk/ Iraq</w:t>
      </w:r>
    </w:p>
    <w:p w:rsidR="000E3E3D" w:rsidRDefault="00CC313B" w:rsidP="00DC0524">
      <w:pPr>
        <w:jc w:val="center"/>
        <w:rPr>
          <w:rFonts w:asciiTheme="majorBidi" w:hAnsiTheme="majorBidi" w:cstheme="majorBidi"/>
          <w:i/>
          <w:iCs/>
          <w:sz w:val="24"/>
          <w:szCs w:val="24"/>
        </w:rPr>
      </w:pPr>
      <w:hyperlink r:id="rId8" w:tgtFrame="_blank" w:history="1">
        <w:r w:rsidR="000E3E3D" w:rsidRPr="00CC1FE1">
          <w:rPr>
            <w:rStyle w:val="Hyperlink"/>
            <w:rFonts w:asciiTheme="majorBidi" w:hAnsiTheme="majorBidi" w:cstheme="majorBidi"/>
            <w:sz w:val="24"/>
            <w:szCs w:val="24"/>
          </w:rPr>
          <w:t>omeribrahiem@gmail.com</w:t>
        </w:r>
      </w:hyperlink>
      <w:r w:rsidR="000E3E3D">
        <w:rPr>
          <w:rFonts w:asciiTheme="majorBidi" w:hAnsiTheme="majorBidi" w:cstheme="majorBidi"/>
          <w:i/>
          <w:iCs/>
          <w:sz w:val="24"/>
          <w:szCs w:val="24"/>
        </w:rPr>
        <w:t xml:space="preserve"> </w:t>
      </w:r>
    </w:p>
    <w:p w:rsidR="00DC0524" w:rsidRPr="00C329A3" w:rsidRDefault="00CC313B" w:rsidP="00DC0524">
      <w:pPr>
        <w:jc w:val="center"/>
        <w:rPr>
          <w:rFonts w:asciiTheme="majorBidi" w:hAnsiTheme="majorBidi" w:cstheme="majorBidi"/>
          <w:i/>
          <w:iCs/>
          <w:sz w:val="24"/>
          <w:szCs w:val="24"/>
        </w:rPr>
      </w:pPr>
      <w:hyperlink r:id="rId9" w:history="1">
        <w:r w:rsidR="00DC0524" w:rsidRPr="00024B26">
          <w:rPr>
            <w:rStyle w:val="Hyperlink"/>
            <w:rFonts w:asciiTheme="majorBidi" w:hAnsiTheme="majorBidi" w:cstheme="majorBidi"/>
            <w:sz w:val="24"/>
            <w:szCs w:val="24"/>
          </w:rPr>
          <w:t>mustafa.jamalakbar77@gmail.com</w:t>
        </w:r>
      </w:hyperlink>
      <w:r w:rsidR="00DC0524">
        <w:rPr>
          <w:rFonts w:asciiTheme="majorBidi" w:hAnsiTheme="majorBidi" w:cstheme="majorBidi"/>
          <w:i/>
          <w:iCs/>
          <w:sz w:val="24"/>
          <w:szCs w:val="24"/>
        </w:rPr>
        <w:t xml:space="preserve"> </w:t>
      </w:r>
    </w:p>
    <w:p w:rsidR="00526606" w:rsidRPr="00C856FA" w:rsidRDefault="00526606" w:rsidP="00C329A3">
      <w:pPr>
        <w:spacing w:line="240" w:lineRule="auto"/>
        <w:rPr>
          <w:rFonts w:asciiTheme="majorBidi" w:hAnsiTheme="majorBidi" w:cstheme="majorBidi"/>
          <w:b/>
          <w:bCs/>
          <w:i/>
          <w:iCs/>
          <w:sz w:val="24"/>
          <w:szCs w:val="24"/>
        </w:rPr>
      </w:pPr>
      <w:r w:rsidRPr="00C856FA">
        <w:rPr>
          <w:rFonts w:asciiTheme="majorBidi" w:hAnsiTheme="majorBidi" w:cstheme="majorBidi"/>
          <w:b/>
          <w:bCs/>
          <w:i/>
          <w:iCs/>
          <w:sz w:val="24"/>
          <w:szCs w:val="24"/>
        </w:rPr>
        <w:t>Abstract:</w:t>
      </w:r>
    </w:p>
    <w:p w:rsidR="009530AB" w:rsidRPr="00C329A3" w:rsidRDefault="00526606" w:rsidP="00307A6E">
      <w:pPr>
        <w:spacing w:line="240" w:lineRule="auto"/>
        <w:jc w:val="both"/>
        <w:rPr>
          <w:rFonts w:asciiTheme="majorBidi" w:hAnsiTheme="majorBidi" w:cstheme="majorBidi"/>
          <w:sz w:val="24"/>
          <w:szCs w:val="24"/>
        </w:rPr>
      </w:pPr>
      <w:r>
        <w:rPr>
          <w:rFonts w:asciiTheme="majorBidi" w:hAnsiTheme="majorBidi" w:cstheme="majorBidi"/>
          <w:b/>
          <w:bCs/>
          <w:sz w:val="28"/>
          <w:szCs w:val="28"/>
        </w:rPr>
        <w:t xml:space="preserve">     </w:t>
      </w:r>
      <w:bookmarkStart w:id="0" w:name="_GoBack"/>
      <w:r w:rsidRPr="00C329A3">
        <w:rPr>
          <w:rFonts w:asciiTheme="majorBidi" w:hAnsiTheme="majorBidi" w:cstheme="majorBidi"/>
          <w:sz w:val="24"/>
          <w:szCs w:val="24"/>
        </w:rPr>
        <w:t xml:space="preserve">The </w:t>
      </w:r>
      <w:r w:rsidR="002A133C">
        <w:rPr>
          <w:rFonts w:asciiTheme="majorBidi" w:hAnsiTheme="majorBidi" w:cstheme="majorBidi"/>
          <w:sz w:val="24"/>
          <w:szCs w:val="24"/>
        </w:rPr>
        <w:t>current research</w:t>
      </w:r>
      <w:r w:rsidRPr="00C329A3">
        <w:rPr>
          <w:rFonts w:asciiTheme="majorBidi" w:hAnsiTheme="majorBidi" w:cstheme="majorBidi"/>
          <w:sz w:val="24"/>
          <w:szCs w:val="24"/>
        </w:rPr>
        <w:t xml:space="preserve"> aimed to </w:t>
      </w:r>
      <w:r w:rsidR="002A133C">
        <w:rPr>
          <w:rFonts w:asciiTheme="majorBidi" w:hAnsiTheme="majorBidi" w:cstheme="majorBidi"/>
          <w:noProof/>
          <w:sz w:val="24"/>
          <w:szCs w:val="24"/>
        </w:rPr>
        <w:t xml:space="preserve">assess </w:t>
      </w:r>
      <w:r w:rsidRPr="00C329A3">
        <w:rPr>
          <w:rFonts w:asciiTheme="majorBidi" w:hAnsiTheme="majorBidi" w:cstheme="majorBidi"/>
          <w:sz w:val="24"/>
          <w:szCs w:val="24"/>
        </w:rPr>
        <w:t xml:space="preserve">contamination levels </w:t>
      </w:r>
      <w:r w:rsidR="008B255C">
        <w:rPr>
          <w:rFonts w:asciiTheme="majorBidi" w:hAnsiTheme="majorBidi" w:cstheme="majorBidi"/>
          <w:sz w:val="24"/>
          <w:szCs w:val="24"/>
        </w:rPr>
        <w:t>of</w:t>
      </w:r>
      <w:r w:rsidRPr="00C329A3">
        <w:rPr>
          <w:rFonts w:asciiTheme="majorBidi" w:hAnsiTheme="majorBidi" w:cstheme="majorBidi"/>
          <w:sz w:val="24"/>
          <w:szCs w:val="24"/>
        </w:rPr>
        <w:t xml:space="preserve"> soil by</w:t>
      </w:r>
      <w:r w:rsidR="008B255C" w:rsidRPr="008B255C">
        <w:rPr>
          <w:rFonts w:asciiTheme="majorBidi" w:hAnsiTheme="majorBidi" w:cstheme="majorBidi"/>
          <w:sz w:val="24"/>
          <w:szCs w:val="24"/>
        </w:rPr>
        <w:t xml:space="preserve"> </w:t>
      </w:r>
      <w:r w:rsidR="008B255C" w:rsidRPr="00C329A3">
        <w:rPr>
          <w:rFonts w:asciiTheme="majorBidi" w:hAnsiTheme="majorBidi" w:cstheme="majorBidi"/>
          <w:sz w:val="24"/>
          <w:szCs w:val="24"/>
        </w:rPr>
        <w:t>heavy metals</w:t>
      </w:r>
      <w:r w:rsidRPr="00C329A3">
        <w:rPr>
          <w:rFonts w:asciiTheme="majorBidi" w:hAnsiTheme="majorBidi" w:cstheme="majorBidi"/>
          <w:sz w:val="24"/>
          <w:szCs w:val="24"/>
        </w:rPr>
        <w:t xml:space="preserve">. Eight sites were selected for the collection of soil samples. The eight heavy metals namely As, Pb, Cd, Cr, Co, Cu, Ni, </w:t>
      </w:r>
      <w:r w:rsidR="00054195" w:rsidRPr="00C329A3">
        <w:rPr>
          <w:rFonts w:asciiTheme="majorBidi" w:hAnsiTheme="majorBidi" w:cstheme="majorBidi"/>
          <w:sz w:val="24"/>
          <w:szCs w:val="24"/>
        </w:rPr>
        <w:t>and Zn</w:t>
      </w:r>
      <w:r w:rsidR="00BA473B">
        <w:rPr>
          <w:rFonts w:asciiTheme="majorBidi" w:hAnsiTheme="majorBidi" w:cstheme="majorBidi"/>
          <w:sz w:val="24"/>
          <w:szCs w:val="24"/>
        </w:rPr>
        <w:t xml:space="preserve"> were analyzed in each soil samples</w:t>
      </w:r>
      <w:r w:rsidR="00054195" w:rsidRPr="00C329A3">
        <w:rPr>
          <w:rFonts w:asciiTheme="majorBidi" w:hAnsiTheme="majorBidi" w:cstheme="majorBidi"/>
          <w:sz w:val="24"/>
          <w:szCs w:val="24"/>
        </w:rPr>
        <w:t xml:space="preserve"> by using ICP-MS technology</w:t>
      </w:r>
      <w:r w:rsidRPr="00C329A3">
        <w:rPr>
          <w:rFonts w:asciiTheme="majorBidi" w:hAnsiTheme="majorBidi" w:cstheme="majorBidi"/>
          <w:sz w:val="24"/>
          <w:szCs w:val="24"/>
        </w:rPr>
        <w:t xml:space="preserve">. The measured concentrations of heavy metals were compared with Geochemical Background values, EPA Sediment Quality Guidelines, EPA Ecological Screening values, </w:t>
      </w:r>
      <w:r w:rsidR="004B0DEA" w:rsidRPr="00C329A3">
        <w:rPr>
          <w:rFonts w:asciiTheme="majorBidi" w:hAnsiTheme="majorBidi" w:cstheme="majorBidi"/>
          <w:sz w:val="24"/>
          <w:szCs w:val="24"/>
        </w:rPr>
        <w:t xml:space="preserve">and </w:t>
      </w:r>
      <w:r w:rsidRPr="00C329A3">
        <w:rPr>
          <w:rFonts w:asciiTheme="majorBidi" w:hAnsiTheme="majorBidi" w:cstheme="majorBidi"/>
          <w:sz w:val="24"/>
          <w:szCs w:val="24"/>
        </w:rPr>
        <w:t xml:space="preserve">WHO Guidelines. The spatial distribution </w:t>
      </w:r>
      <w:r w:rsidR="00042169">
        <w:rPr>
          <w:rFonts w:asciiTheme="majorBidi" w:hAnsiTheme="majorBidi" w:cstheme="majorBidi"/>
          <w:sz w:val="24"/>
          <w:szCs w:val="24"/>
        </w:rPr>
        <w:t>map</w:t>
      </w:r>
      <w:r w:rsidRPr="00C329A3">
        <w:rPr>
          <w:rFonts w:asciiTheme="majorBidi" w:hAnsiTheme="majorBidi" w:cstheme="majorBidi"/>
          <w:sz w:val="24"/>
          <w:szCs w:val="24"/>
        </w:rPr>
        <w:t xml:space="preserve">s of </w:t>
      </w:r>
      <w:r w:rsidR="00042169">
        <w:rPr>
          <w:rFonts w:asciiTheme="majorBidi" w:hAnsiTheme="majorBidi" w:cstheme="majorBidi"/>
          <w:sz w:val="24"/>
          <w:szCs w:val="24"/>
        </w:rPr>
        <w:t>ecological</w:t>
      </w:r>
      <w:r w:rsidRPr="00C329A3">
        <w:rPr>
          <w:rFonts w:asciiTheme="majorBidi" w:hAnsiTheme="majorBidi" w:cstheme="majorBidi"/>
          <w:sz w:val="24"/>
          <w:szCs w:val="24"/>
        </w:rPr>
        <w:t xml:space="preserve"> indices</w:t>
      </w:r>
      <w:r w:rsidR="00BA473B">
        <w:rPr>
          <w:rFonts w:asciiTheme="majorBidi" w:hAnsiTheme="majorBidi" w:cstheme="majorBidi"/>
          <w:sz w:val="24"/>
          <w:szCs w:val="24"/>
        </w:rPr>
        <w:t xml:space="preserve"> </w:t>
      </w:r>
      <w:r w:rsidRPr="00C329A3">
        <w:rPr>
          <w:rFonts w:asciiTheme="majorBidi" w:hAnsiTheme="majorBidi" w:cstheme="majorBidi"/>
          <w:sz w:val="24"/>
          <w:szCs w:val="24"/>
        </w:rPr>
        <w:t xml:space="preserve">were </w:t>
      </w:r>
      <w:r w:rsidR="00042169">
        <w:rPr>
          <w:rFonts w:asciiTheme="majorBidi" w:hAnsiTheme="majorBidi" w:cstheme="majorBidi"/>
          <w:sz w:val="24"/>
          <w:szCs w:val="24"/>
        </w:rPr>
        <w:t>perform</w:t>
      </w:r>
      <w:r w:rsidRPr="00C329A3">
        <w:rPr>
          <w:rFonts w:asciiTheme="majorBidi" w:hAnsiTheme="majorBidi" w:cstheme="majorBidi"/>
          <w:sz w:val="24"/>
          <w:szCs w:val="24"/>
        </w:rPr>
        <w:t>ed using</w:t>
      </w:r>
      <w:r w:rsidR="00BA473B">
        <w:rPr>
          <w:rFonts w:asciiTheme="majorBidi" w:hAnsiTheme="majorBidi" w:cstheme="majorBidi"/>
          <w:sz w:val="24"/>
          <w:szCs w:val="24"/>
        </w:rPr>
        <w:t xml:space="preserve"> Arc</w:t>
      </w:r>
      <w:r w:rsidR="005B435C">
        <w:rPr>
          <w:rFonts w:asciiTheme="majorBidi" w:hAnsiTheme="majorBidi" w:cstheme="majorBidi"/>
          <w:sz w:val="24"/>
          <w:szCs w:val="24"/>
        </w:rPr>
        <w:t>GIS</w:t>
      </w:r>
      <w:r w:rsidR="00BA473B">
        <w:rPr>
          <w:rFonts w:asciiTheme="majorBidi" w:hAnsiTheme="majorBidi" w:cstheme="majorBidi"/>
          <w:sz w:val="24"/>
          <w:szCs w:val="24"/>
        </w:rPr>
        <w:t xml:space="preserve"> software (version 10.2)</w:t>
      </w:r>
      <w:r w:rsidR="00187578" w:rsidRPr="00C329A3">
        <w:rPr>
          <w:rFonts w:asciiTheme="majorBidi" w:hAnsiTheme="majorBidi" w:cstheme="majorBidi"/>
          <w:sz w:val="24"/>
          <w:szCs w:val="24"/>
        </w:rPr>
        <w:t xml:space="preserve">, which </w:t>
      </w:r>
      <w:r w:rsidR="008C6A5B">
        <w:rPr>
          <w:rFonts w:asciiTheme="majorBidi" w:hAnsiTheme="majorBidi" w:cstheme="majorBidi"/>
          <w:noProof/>
          <w:sz w:val="24"/>
          <w:szCs w:val="24"/>
        </w:rPr>
        <w:t>provides</w:t>
      </w:r>
      <w:r w:rsidR="00BA473B">
        <w:rPr>
          <w:rFonts w:asciiTheme="majorBidi" w:hAnsiTheme="majorBidi" w:cstheme="majorBidi"/>
          <w:sz w:val="24"/>
          <w:szCs w:val="24"/>
        </w:rPr>
        <w:t xml:space="preserve"> an</w:t>
      </w:r>
      <w:r w:rsidR="00187578" w:rsidRPr="00C329A3">
        <w:rPr>
          <w:rFonts w:asciiTheme="majorBidi" w:hAnsiTheme="majorBidi" w:cstheme="majorBidi"/>
          <w:sz w:val="24"/>
          <w:szCs w:val="24"/>
        </w:rPr>
        <w:t xml:space="preserve"> </w:t>
      </w:r>
      <w:r w:rsidR="00BA473B">
        <w:rPr>
          <w:rFonts w:asciiTheme="majorBidi" w:hAnsiTheme="majorBidi" w:cstheme="majorBidi"/>
          <w:sz w:val="24"/>
          <w:szCs w:val="24"/>
        </w:rPr>
        <w:t>idea</w:t>
      </w:r>
      <w:r w:rsidR="00187578" w:rsidRPr="00C329A3">
        <w:rPr>
          <w:rFonts w:asciiTheme="majorBidi" w:hAnsiTheme="majorBidi" w:cstheme="majorBidi"/>
          <w:sz w:val="24"/>
          <w:szCs w:val="24"/>
        </w:rPr>
        <w:t xml:space="preserve"> </w:t>
      </w:r>
      <w:r w:rsidR="00042169">
        <w:rPr>
          <w:rFonts w:asciiTheme="majorBidi" w:hAnsiTheme="majorBidi" w:cstheme="majorBidi"/>
          <w:sz w:val="24"/>
          <w:szCs w:val="24"/>
        </w:rPr>
        <w:t>of the</w:t>
      </w:r>
      <w:r w:rsidR="004B0DEA" w:rsidRPr="00C329A3">
        <w:rPr>
          <w:rFonts w:asciiTheme="majorBidi" w:hAnsiTheme="majorBidi" w:cstheme="majorBidi"/>
          <w:sz w:val="24"/>
          <w:szCs w:val="24"/>
        </w:rPr>
        <w:t xml:space="preserve"> geographical distribution of</w:t>
      </w:r>
      <w:r w:rsidR="00187578" w:rsidRPr="00C329A3">
        <w:rPr>
          <w:rFonts w:asciiTheme="majorBidi" w:hAnsiTheme="majorBidi" w:cstheme="majorBidi"/>
          <w:sz w:val="24"/>
          <w:szCs w:val="24"/>
        </w:rPr>
        <w:t xml:space="preserve"> </w:t>
      </w:r>
      <w:r w:rsidR="00042169">
        <w:rPr>
          <w:rFonts w:asciiTheme="majorBidi" w:hAnsiTheme="majorBidi" w:cstheme="majorBidi"/>
          <w:sz w:val="24"/>
          <w:szCs w:val="24"/>
        </w:rPr>
        <w:t xml:space="preserve">heavy metals </w:t>
      </w:r>
      <w:r w:rsidR="00187578" w:rsidRPr="00C329A3">
        <w:rPr>
          <w:rFonts w:asciiTheme="majorBidi" w:hAnsiTheme="majorBidi" w:cstheme="majorBidi"/>
          <w:sz w:val="24"/>
          <w:szCs w:val="24"/>
        </w:rPr>
        <w:t xml:space="preserve">contamination levels in </w:t>
      </w:r>
      <w:r w:rsidR="004055E3" w:rsidRPr="00C329A3">
        <w:rPr>
          <w:rFonts w:asciiTheme="majorBidi" w:hAnsiTheme="majorBidi" w:cstheme="majorBidi"/>
          <w:sz w:val="24"/>
          <w:szCs w:val="24"/>
        </w:rPr>
        <w:t>the</w:t>
      </w:r>
      <w:r w:rsidR="004055E3">
        <w:rPr>
          <w:rFonts w:asciiTheme="majorBidi" w:hAnsiTheme="majorBidi" w:cstheme="majorBidi"/>
          <w:sz w:val="24"/>
          <w:szCs w:val="24"/>
        </w:rPr>
        <w:t xml:space="preserve"> </w:t>
      </w:r>
      <w:r w:rsidR="00BA473B">
        <w:rPr>
          <w:rFonts w:asciiTheme="majorBidi" w:hAnsiTheme="majorBidi" w:cstheme="majorBidi"/>
          <w:sz w:val="24"/>
          <w:szCs w:val="24"/>
        </w:rPr>
        <w:t xml:space="preserve">soil of </w:t>
      </w:r>
      <w:r w:rsidR="00042169">
        <w:rPr>
          <w:rFonts w:asciiTheme="majorBidi" w:hAnsiTheme="majorBidi" w:cstheme="majorBidi"/>
          <w:sz w:val="24"/>
          <w:szCs w:val="24"/>
        </w:rPr>
        <w:t>Shewasoor sub-basin</w:t>
      </w:r>
      <w:r w:rsidR="00187578" w:rsidRPr="00C329A3">
        <w:rPr>
          <w:rFonts w:asciiTheme="majorBidi" w:hAnsiTheme="majorBidi" w:cstheme="majorBidi"/>
          <w:sz w:val="24"/>
          <w:szCs w:val="24"/>
        </w:rPr>
        <w:t xml:space="preserve">. The </w:t>
      </w:r>
      <w:r w:rsidR="003E28DC">
        <w:rPr>
          <w:rFonts w:asciiTheme="majorBidi" w:hAnsiTheme="majorBidi" w:cstheme="majorBidi"/>
          <w:sz w:val="24"/>
          <w:szCs w:val="24"/>
        </w:rPr>
        <w:t xml:space="preserve">soil </w:t>
      </w:r>
      <w:r w:rsidR="00187578" w:rsidRPr="00C329A3">
        <w:rPr>
          <w:rFonts w:asciiTheme="majorBidi" w:hAnsiTheme="majorBidi" w:cstheme="majorBidi"/>
          <w:sz w:val="24"/>
          <w:szCs w:val="24"/>
        </w:rPr>
        <w:t xml:space="preserve">contamination </w:t>
      </w:r>
      <w:r w:rsidR="003E28DC">
        <w:rPr>
          <w:rFonts w:asciiTheme="majorBidi" w:hAnsiTheme="majorBidi" w:cstheme="majorBidi"/>
          <w:sz w:val="24"/>
          <w:szCs w:val="24"/>
        </w:rPr>
        <w:t xml:space="preserve">by </w:t>
      </w:r>
      <w:r w:rsidR="003E28DC" w:rsidRPr="00C329A3">
        <w:rPr>
          <w:rFonts w:asciiTheme="majorBidi" w:hAnsiTheme="majorBidi" w:cstheme="majorBidi"/>
          <w:sz w:val="24"/>
          <w:szCs w:val="24"/>
        </w:rPr>
        <w:t xml:space="preserve">heavy metals </w:t>
      </w:r>
      <w:r w:rsidR="00464589">
        <w:rPr>
          <w:rFonts w:asciiTheme="majorBidi" w:hAnsiTheme="majorBidi" w:cstheme="majorBidi"/>
          <w:sz w:val="24"/>
          <w:szCs w:val="24"/>
        </w:rPr>
        <w:t>assessed</w:t>
      </w:r>
      <w:r w:rsidR="00187578" w:rsidRPr="00C329A3">
        <w:rPr>
          <w:rFonts w:asciiTheme="majorBidi" w:hAnsiTheme="majorBidi" w:cstheme="majorBidi"/>
          <w:sz w:val="24"/>
          <w:szCs w:val="24"/>
        </w:rPr>
        <w:t xml:space="preserve"> using </w:t>
      </w:r>
      <w:r w:rsidR="004B0DEA" w:rsidRPr="00C329A3">
        <w:rPr>
          <w:rFonts w:asciiTheme="majorBidi" w:hAnsiTheme="majorBidi" w:cstheme="majorBidi"/>
          <w:sz w:val="24"/>
          <w:szCs w:val="24"/>
        </w:rPr>
        <w:t xml:space="preserve">Potential </w:t>
      </w:r>
      <w:r w:rsidR="00187578" w:rsidRPr="00C329A3">
        <w:rPr>
          <w:rFonts w:asciiTheme="majorBidi" w:hAnsiTheme="majorBidi" w:cstheme="majorBidi"/>
          <w:sz w:val="24"/>
          <w:szCs w:val="24"/>
        </w:rPr>
        <w:t>Ecological Risk Index</w:t>
      </w:r>
      <w:r w:rsidR="00117895">
        <w:rPr>
          <w:rFonts w:asciiTheme="majorBidi" w:hAnsiTheme="majorBidi" w:cstheme="majorBidi"/>
          <w:sz w:val="24"/>
          <w:szCs w:val="24"/>
        </w:rPr>
        <w:t xml:space="preserve"> (</w:t>
      </w:r>
      <m:oMath>
        <m:r>
          <w:rPr>
            <w:rFonts w:ascii="Cambria Math" w:hAnsi="Cambria Math" w:cstheme="majorBidi"/>
            <w:sz w:val="24"/>
            <w:szCs w:val="24"/>
          </w:rPr>
          <m:t>RI</m:t>
        </m:r>
      </m:oMath>
      <w:r w:rsidR="00117895">
        <w:rPr>
          <w:rFonts w:asciiTheme="majorBidi" w:hAnsiTheme="majorBidi" w:cstheme="majorBidi"/>
          <w:sz w:val="24"/>
          <w:szCs w:val="24"/>
        </w:rPr>
        <w:t>)</w:t>
      </w:r>
      <w:r w:rsidR="00187578" w:rsidRPr="00C329A3">
        <w:rPr>
          <w:rFonts w:asciiTheme="majorBidi" w:hAnsiTheme="majorBidi" w:cstheme="majorBidi"/>
          <w:sz w:val="24"/>
          <w:szCs w:val="24"/>
        </w:rPr>
        <w:t>, Nemerow Pollution Index</w:t>
      </w:r>
      <w:r w:rsidR="00117895">
        <w:rPr>
          <w:rFonts w:asciiTheme="majorBidi" w:hAnsiTheme="majorBidi" w:cstheme="majorBidi"/>
          <w:sz w:val="24"/>
          <w:szCs w:val="24"/>
        </w:rPr>
        <w:t xml:space="preserve"> </w:t>
      </w:r>
      <w:r w:rsidR="00117895">
        <w:rPr>
          <w:rFonts w:asciiTheme="majorBidi" w:hAnsiTheme="majorBidi" w:cstheme="majorBidi"/>
          <w:iCs/>
          <w:sz w:val="22"/>
          <w:szCs w:val="22"/>
        </w:rPr>
        <w:t>(</w:t>
      </w:r>
      <m:oMath>
        <m:sSub>
          <m:sSubPr>
            <m:ctrlPr>
              <w:rPr>
                <w:rFonts w:ascii="Cambria Math" w:eastAsia="Calibri" w:hAnsi="Cambria Math" w:cs="Times New Roman"/>
                <w:i/>
                <w:iCs/>
                <w:sz w:val="22"/>
                <w:szCs w:val="22"/>
              </w:rPr>
            </m:ctrlPr>
          </m:sSubPr>
          <m:e>
            <m:r>
              <w:rPr>
                <w:rFonts w:ascii="Cambria Math" w:eastAsia="Calibri" w:hAnsi="Cambria Math" w:cs="Times New Roman"/>
                <w:sz w:val="22"/>
                <w:szCs w:val="22"/>
              </w:rPr>
              <m:t>P</m:t>
            </m:r>
          </m:e>
          <m:sub>
            <m:r>
              <w:rPr>
                <w:rFonts w:ascii="Cambria Math" w:eastAsia="Calibri" w:hAnsi="Cambria Math" w:cs="Times New Roman"/>
                <w:sz w:val="22"/>
                <w:szCs w:val="22"/>
              </w:rPr>
              <m:t>N</m:t>
            </m:r>
          </m:sub>
        </m:sSub>
      </m:oMath>
      <w:r w:rsidR="00117895">
        <w:rPr>
          <w:rFonts w:asciiTheme="majorBidi" w:hAnsiTheme="majorBidi" w:cstheme="majorBidi"/>
          <w:sz w:val="24"/>
          <w:szCs w:val="24"/>
        </w:rPr>
        <w:t>)</w:t>
      </w:r>
      <w:r w:rsidR="00187578" w:rsidRPr="00C329A3">
        <w:rPr>
          <w:rFonts w:asciiTheme="majorBidi" w:hAnsiTheme="majorBidi" w:cstheme="majorBidi"/>
          <w:sz w:val="24"/>
          <w:szCs w:val="24"/>
        </w:rPr>
        <w:t xml:space="preserve">, </w:t>
      </w:r>
      <w:r w:rsidR="00600C7E">
        <w:rPr>
          <w:rFonts w:asciiTheme="majorBidi" w:hAnsiTheme="majorBidi" w:cstheme="majorBidi"/>
          <w:noProof/>
          <w:sz w:val="24"/>
          <w:szCs w:val="24"/>
        </w:rPr>
        <w:t>H</w:t>
      </w:r>
      <w:r w:rsidR="00D00E1F">
        <w:rPr>
          <w:rFonts w:asciiTheme="majorBidi" w:hAnsiTheme="majorBidi" w:cstheme="majorBidi"/>
          <w:noProof/>
          <w:sz w:val="24"/>
          <w:szCs w:val="24"/>
        </w:rPr>
        <w:t>azard</w:t>
      </w:r>
      <w:r w:rsidR="00600C7E">
        <w:rPr>
          <w:rFonts w:asciiTheme="majorBidi" w:hAnsiTheme="majorBidi" w:cstheme="majorBidi"/>
          <w:noProof/>
          <w:sz w:val="24"/>
          <w:szCs w:val="24"/>
        </w:rPr>
        <w:t xml:space="preserve"> Index</w:t>
      </w:r>
      <w:r w:rsidR="00117895">
        <w:rPr>
          <w:rFonts w:asciiTheme="majorBidi" w:hAnsiTheme="majorBidi" w:cstheme="majorBidi"/>
          <w:noProof/>
          <w:sz w:val="24"/>
          <w:szCs w:val="24"/>
        </w:rPr>
        <w:t xml:space="preserve"> </w:t>
      </w:r>
      <w:r w:rsidR="00117895" w:rsidRPr="00C329A3">
        <w:rPr>
          <w:rFonts w:asciiTheme="majorBidi" w:hAnsiTheme="majorBidi" w:cstheme="majorBidi"/>
          <w:sz w:val="24"/>
          <w:szCs w:val="24"/>
        </w:rPr>
        <w:t>(</w:t>
      </w:r>
      <w:r w:rsidR="00117895" w:rsidRPr="009D763A">
        <w:rPr>
          <w:rFonts w:asciiTheme="majorBidi" w:hAnsiTheme="majorBidi" w:cstheme="majorBidi"/>
          <w:i/>
          <w:iCs/>
          <w:sz w:val="24"/>
          <w:szCs w:val="24"/>
        </w:rPr>
        <w:t>HI</w:t>
      </w:r>
      <w:r w:rsidR="00117895" w:rsidRPr="00C329A3">
        <w:rPr>
          <w:rFonts w:asciiTheme="majorBidi" w:hAnsiTheme="majorBidi" w:cstheme="majorBidi"/>
          <w:sz w:val="24"/>
          <w:szCs w:val="24"/>
        </w:rPr>
        <w:t>)</w:t>
      </w:r>
      <w:r w:rsidR="00C11448">
        <w:rPr>
          <w:rFonts w:asciiTheme="majorBidi" w:hAnsiTheme="majorBidi" w:cstheme="majorBidi"/>
          <w:noProof/>
          <w:sz w:val="24"/>
          <w:szCs w:val="24"/>
        </w:rPr>
        <w:t>,</w:t>
      </w:r>
      <w:r w:rsidR="00187578" w:rsidRPr="00C329A3">
        <w:rPr>
          <w:rFonts w:asciiTheme="majorBidi" w:hAnsiTheme="majorBidi" w:cstheme="majorBidi"/>
          <w:sz w:val="24"/>
          <w:szCs w:val="24"/>
        </w:rPr>
        <w:t xml:space="preserve"> and C</w:t>
      </w:r>
      <w:r w:rsidR="00600C7E">
        <w:rPr>
          <w:rFonts w:asciiTheme="majorBidi" w:hAnsiTheme="majorBidi" w:cstheme="majorBidi"/>
          <w:sz w:val="24"/>
          <w:szCs w:val="24"/>
        </w:rPr>
        <w:t>ancer</w:t>
      </w:r>
      <w:r w:rsidR="00187578" w:rsidRPr="00C329A3">
        <w:rPr>
          <w:rFonts w:asciiTheme="majorBidi" w:hAnsiTheme="majorBidi" w:cstheme="majorBidi"/>
          <w:sz w:val="24"/>
          <w:szCs w:val="24"/>
        </w:rPr>
        <w:t xml:space="preserve"> Risk. </w:t>
      </w:r>
      <w:r w:rsidR="00293F78" w:rsidRPr="00C329A3">
        <w:rPr>
          <w:rFonts w:asciiTheme="majorBidi" w:hAnsiTheme="majorBidi" w:cstheme="majorBidi"/>
          <w:sz w:val="24"/>
          <w:szCs w:val="24"/>
        </w:rPr>
        <w:t>The</w:t>
      </w:r>
      <w:r w:rsidR="00187578" w:rsidRPr="00C329A3">
        <w:rPr>
          <w:rFonts w:asciiTheme="majorBidi" w:hAnsiTheme="majorBidi" w:cstheme="majorBidi"/>
          <w:sz w:val="24"/>
          <w:szCs w:val="24"/>
        </w:rPr>
        <w:t xml:space="preserve"> </w:t>
      </w:r>
      <w:bookmarkStart w:id="1" w:name="_Hlk501142479"/>
      <m:oMath>
        <m:r>
          <w:rPr>
            <w:rFonts w:ascii="Cambria Math" w:hAnsi="Cambria Math" w:cstheme="majorBidi"/>
            <w:sz w:val="24"/>
            <w:szCs w:val="24"/>
          </w:rPr>
          <m:t>RI</m:t>
        </m:r>
      </m:oMath>
      <w:bookmarkEnd w:id="1"/>
      <w:r w:rsidR="00D00E1F" w:rsidRPr="00C329A3">
        <w:rPr>
          <w:rFonts w:asciiTheme="majorBidi" w:hAnsiTheme="majorBidi" w:cstheme="majorBidi"/>
          <w:sz w:val="24"/>
          <w:szCs w:val="24"/>
        </w:rPr>
        <w:t xml:space="preserve"> </w:t>
      </w:r>
      <w:r w:rsidR="00187578" w:rsidRPr="00C329A3">
        <w:rPr>
          <w:rFonts w:asciiTheme="majorBidi" w:hAnsiTheme="majorBidi" w:cstheme="majorBidi"/>
          <w:sz w:val="24"/>
          <w:szCs w:val="24"/>
        </w:rPr>
        <w:t>showed the</w:t>
      </w:r>
      <w:r w:rsidR="00D00E1F">
        <w:rPr>
          <w:rFonts w:asciiTheme="majorBidi" w:hAnsiTheme="majorBidi" w:cstheme="majorBidi"/>
          <w:sz w:val="24"/>
          <w:szCs w:val="24"/>
        </w:rPr>
        <w:t xml:space="preserve">re </w:t>
      </w:r>
      <w:r w:rsidR="00117895">
        <w:rPr>
          <w:rFonts w:asciiTheme="majorBidi" w:hAnsiTheme="majorBidi" w:cstheme="majorBidi"/>
          <w:sz w:val="24"/>
          <w:szCs w:val="24"/>
        </w:rPr>
        <w:t>are</w:t>
      </w:r>
      <w:r w:rsidR="00D00E1F">
        <w:rPr>
          <w:rFonts w:asciiTheme="majorBidi" w:hAnsiTheme="majorBidi" w:cstheme="majorBidi"/>
          <w:sz w:val="24"/>
          <w:szCs w:val="24"/>
        </w:rPr>
        <w:t xml:space="preserve"> high risk of heavy metals in soil and</w:t>
      </w:r>
      <w:r w:rsidR="00117895">
        <w:rPr>
          <w:rFonts w:asciiTheme="majorBidi" w:hAnsiTheme="majorBidi" w:cstheme="majorBidi"/>
          <w:sz w:val="24"/>
          <w:szCs w:val="24"/>
        </w:rPr>
        <w:t xml:space="preserve"> according to</w:t>
      </w:r>
      <w:r w:rsidR="00D00E1F">
        <w:rPr>
          <w:rFonts w:asciiTheme="majorBidi" w:hAnsiTheme="majorBidi" w:cstheme="majorBidi"/>
          <w:sz w:val="24"/>
          <w:szCs w:val="24"/>
        </w:rPr>
        <w:t xml:space="preserve"> </w:t>
      </w:r>
      <m:oMath>
        <m:sSub>
          <m:sSubPr>
            <m:ctrlPr>
              <w:rPr>
                <w:rFonts w:ascii="Cambria Math" w:eastAsia="Calibri" w:hAnsi="Cambria Math" w:cs="Times New Roman"/>
                <w:i/>
                <w:iCs/>
                <w:sz w:val="22"/>
                <w:szCs w:val="22"/>
              </w:rPr>
            </m:ctrlPr>
          </m:sSubPr>
          <m:e>
            <m:r>
              <w:rPr>
                <w:rFonts w:ascii="Cambria Math" w:eastAsia="Calibri" w:hAnsi="Cambria Math" w:cs="Times New Roman"/>
                <w:sz w:val="22"/>
                <w:szCs w:val="22"/>
              </w:rPr>
              <m:t>P</m:t>
            </m:r>
          </m:e>
          <m:sub>
            <m:r>
              <w:rPr>
                <w:rFonts w:ascii="Cambria Math" w:eastAsia="Calibri" w:hAnsi="Cambria Math" w:cs="Times New Roman"/>
                <w:sz w:val="22"/>
                <w:szCs w:val="22"/>
              </w:rPr>
              <m:t>N</m:t>
            </m:r>
          </m:sub>
        </m:sSub>
      </m:oMath>
      <w:r w:rsidR="00187578" w:rsidRPr="00C329A3">
        <w:rPr>
          <w:rFonts w:asciiTheme="majorBidi" w:hAnsiTheme="majorBidi" w:cstheme="majorBidi"/>
          <w:sz w:val="24"/>
          <w:szCs w:val="24"/>
        </w:rPr>
        <w:t xml:space="preserve"> </w:t>
      </w:r>
      <w:r w:rsidR="00D00E1F">
        <w:rPr>
          <w:rFonts w:asciiTheme="majorBidi" w:hAnsiTheme="majorBidi" w:cstheme="majorBidi"/>
          <w:sz w:val="24"/>
          <w:szCs w:val="24"/>
        </w:rPr>
        <w:t xml:space="preserve">the </w:t>
      </w:r>
      <w:r w:rsidR="00187578" w:rsidRPr="00C329A3">
        <w:rPr>
          <w:rFonts w:asciiTheme="majorBidi" w:hAnsiTheme="majorBidi" w:cstheme="majorBidi"/>
          <w:sz w:val="24"/>
          <w:szCs w:val="24"/>
        </w:rPr>
        <w:t>soil</w:t>
      </w:r>
      <w:r w:rsidR="00D00E1F">
        <w:rPr>
          <w:rFonts w:asciiTheme="majorBidi" w:hAnsiTheme="majorBidi" w:cstheme="majorBidi"/>
          <w:sz w:val="24"/>
          <w:szCs w:val="24"/>
        </w:rPr>
        <w:t xml:space="preserve"> has been</w:t>
      </w:r>
      <w:r w:rsidR="00187578" w:rsidRPr="00C329A3">
        <w:rPr>
          <w:rFonts w:asciiTheme="majorBidi" w:hAnsiTheme="majorBidi" w:cstheme="majorBidi"/>
          <w:sz w:val="24"/>
          <w:szCs w:val="24"/>
        </w:rPr>
        <w:t xml:space="preserve"> moderate to </w:t>
      </w:r>
      <w:r w:rsidR="00D00E1F">
        <w:rPr>
          <w:rFonts w:asciiTheme="majorBidi" w:hAnsiTheme="majorBidi" w:cstheme="majorBidi"/>
          <w:sz w:val="24"/>
          <w:szCs w:val="24"/>
        </w:rPr>
        <w:t>severe</w:t>
      </w:r>
      <w:r w:rsidR="00187578" w:rsidRPr="00C329A3">
        <w:rPr>
          <w:rFonts w:asciiTheme="majorBidi" w:hAnsiTheme="majorBidi" w:cstheme="majorBidi"/>
          <w:sz w:val="24"/>
          <w:szCs w:val="24"/>
        </w:rPr>
        <w:t xml:space="preserve">ly contaminated by heavy metals. The hazard index </w:t>
      </w:r>
      <w:r w:rsidR="009D763A">
        <w:rPr>
          <w:rFonts w:asciiTheme="majorBidi" w:hAnsiTheme="majorBidi" w:cstheme="majorBidi"/>
          <w:sz w:val="24"/>
          <w:szCs w:val="24"/>
        </w:rPr>
        <w:t>of all soil samples was within</w:t>
      </w:r>
      <w:r w:rsidR="009530AB" w:rsidRPr="00C329A3">
        <w:rPr>
          <w:rFonts w:asciiTheme="majorBidi" w:hAnsiTheme="majorBidi" w:cstheme="majorBidi"/>
          <w:sz w:val="24"/>
          <w:szCs w:val="24"/>
        </w:rPr>
        <w:t xml:space="preserve"> acceptable</w:t>
      </w:r>
      <w:r w:rsidR="009D763A">
        <w:rPr>
          <w:rFonts w:asciiTheme="majorBidi" w:hAnsiTheme="majorBidi" w:cstheme="majorBidi"/>
          <w:sz w:val="24"/>
          <w:szCs w:val="24"/>
        </w:rPr>
        <w:t xml:space="preserve"> range</w:t>
      </w:r>
      <w:r w:rsidR="009530AB" w:rsidRPr="00C329A3">
        <w:rPr>
          <w:rFonts w:asciiTheme="majorBidi" w:hAnsiTheme="majorBidi" w:cstheme="majorBidi"/>
          <w:sz w:val="24"/>
          <w:szCs w:val="24"/>
        </w:rPr>
        <w:t xml:space="preserve"> for adults and </w:t>
      </w:r>
      <w:r w:rsidR="009D763A">
        <w:rPr>
          <w:rFonts w:asciiTheme="majorBidi" w:hAnsiTheme="majorBidi" w:cstheme="majorBidi"/>
          <w:sz w:val="24"/>
          <w:szCs w:val="24"/>
        </w:rPr>
        <w:t xml:space="preserve">showed </w:t>
      </w:r>
      <w:r w:rsidR="009530AB" w:rsidRPr="00C329A3">
        <w:rPr>
          <w:rFonts w:asciiTheme="majorBidi" w:hAnsiTheme="majorBidi" w:cstheme="majorBidi"/>
          <w:sz w:val="24"/>
          <w:szCs w:val="24"/>
        </w:rPr>
        <w:t xml:space="preserve">unacceptable risk for children. While the </w:t>
      </w:r>
      <w:r w:rsidR="009D30E0">
        <w:rPr>
          <w:rFonts w:asciiTheme="majorBidi" w:hAnsiTheme="majorBidi" w:cstheme="majorBidi"/>
          <w:sz w:val="24"/>
          <w:szCs w:val="24"/>
        </w:rPr>
        <w:t xml:space="preserve">total </w:t>
      </w:r>
      <w:r w:rsidR="009530AB" w:rsidRPr="00C329A3">
        <w:rPr>
          <w:rFonts w:asciiTheme="majorBidi" w:hAnsiTheme="majorBidi" w:cstheme="majorBidi"/>
          <w:sz w:val="24"/>
          <w:szCs w:val="24"/>
        </w:rPr>
        <w:t xml:space="preserve">cancer risk values of As and Cr </w:t>
      </w:r>
      <w:r w:rsidR="009D30E0">
        <w:rPr>
          <w:rFonts w:asciiTheme="majorBidi" w:hAnsiTheme="majorBidi" w:cstheme="majorBidi"/>
          <w:sz w:val="24"/>
          <w:szCs w:val="24"/>
        </w:rPr>
        <w:t>was in</w:t>
      </w:r>
      <w:r w:rsidR="009530AB" w:rsidRPr="00C329A3">
        <w:rPr>
          <w:rFonts w:asciiTheme="majorBidi" w:hAnsiTheme="majorBidi" w:cstheme="majorBidi"/>
          <w:sz w:val="24"/>
          <w:szCs w:val="24"/>
        </w:rPr>
        <w:t xml:space="preserve"> acceptable limits, whereas </w:t>
      </w:r>
      <w:r w:rsidR="00307A6E" w:rsidRPr="00307A6E">
        <w:rPr>
          <w:rFonts w:asciiTheme="majorBidi" w:hAnsiTheme="majorBidi" w:cstheme="majorBidi"/>
          <w:sz w:val="24"/>
          <w:szCs w:val="24"/>
        </w:rPr>
        <w:t xml:space="preserve">Pb, Cd, Co, and Ni was lower than </w:t>
      </w:r>
      <w:r w:rsidR="009D30E0">
        <w:rPr>
          <w:rFonts w:asciiTheme="majorBidi" w:hAnsiTheme="majorBidi" w:cstheme="majorBidi"/>
          <w:sz w:val="24"/>
          <w:szCs w:val="24"/>
        </w:rPr>
        <w:t>acceptable</w:t>
      </w:r>
      <w:r w:rsidR="00307A6E" w:rsidRPr="00307A6E">
        <w:rPr>
          <w:rFonts w:asciiTheme="majorBidi" w:hAnsiTheme="majorBidi" w:cstheme="majorBidi"/>
          <w:sz w:val="24"/>
          <w:szCs w:val="24"/>
        </w:rPr>
        <w:t xml:space="preserve"> risk range at all sites </w:t>
      </w:r>
      <w:r w:rsidR="009530AB" w:rsidRPr="00C329A3">
        <w:rPr>
          <w:rFonts w:asciiTheme="majorBidi" w:hAnsiTheme="majorBidi" w:cstheme="majorBidi"/>
          <w:sz w:val="24"/>
          <w:szCs w:val="24"/>
        </w:rPr>
        <w:t>for adults</w:t>
      </w:r>
      <w:r w:rsidR="000D4DA6" w:rsidRPr="00C329A3">
        <w:rPr>
          <w:rFonts w:asciiTheme="majorBidi" w:hAnsiTheme="majorBidi" w:cstheme="majorBidi"/>
          <w:sz w:val="24"/>
          <w:szCs w:val="24"/>
        </w:rPr>
        <w:t xml:space="preserve"> and children.</w:t>
      </w:r>
      <w:r w:rsidR="00187578" w:rsidRPr="00C329A3">
        <w:rPr>
          <w:rFonts w:asciiTheme="majorBidi" w:hAnsiTheme="majorBidi" w:cstheme="majorBidi"/>
          <w:sz w:val="24"/>
          <w:szCs w:val="24"/>
        </w:rPr>
        <w:t xml:space="preserve"> </w:t>
      </w:r>
    </w:p>
    <w:bookmarkEnd w:id="0"/>
    <w:p w:rsidR="00BD727D" w:rsidRDefault="009530AB" w:rsidP="00C329A3">
      <w:pPr>
        <w:spacing w:line="240" w:lineRule="auto"/>
        <w:rPr>
          <w:rFonts w:asciiTheme="majorBidi" w:hAnsiTheme="majorBidi" w:cstheme="majorBidi"/>
          <w:sz w:val="28"/>
          <w:szCs w:val="28"/>
        </w:rPr>
      </w:pPr>
      <w:r w:rsidRPr="00C856FA">
        <w:rPr>
          <w:rFonts w:asciiTheme="majorBidi" w:hAnsiTheme="majorBidi" w:cstheme="majorBidi"/>
          <w:b/>
          <w:bCs/>
          <w:i/>
          <w:iCs/>
          <w:sz w:val="24"/>
          <w:szCs w:val="24"/>
        </w:rPr>
        <w:t>Keywords:</w:t>
      </w:r>
      <w:r w:rsidR="00570DA6">
        <w:rPr>
          <w:rFonts w:asciiTheme="majorBidi" w:hAnsiTheme="majorBidi" w:cstheme="majorBidi"/>
          <w:b/>
          <w:bCs/>
          <w:sz w:val="28"/>
          <w:szCs w:val="28"/>
        </w:rPr>
        <w:t xml:space="preserve"> </w:t>
      </w:r>
      <w:r w:rsidR="00603D7A">
        <w:rPr>
          <w:rFonts w:asciiTheme="majorBidi" w:hAnsiTheme="majorBidi" w:cstheme="majorBidi"/>
          <w:sz w:val="24"/>
          <w:szCs w:val="24"/>
        </w:rPr>
        <w:t>E</w:t>
      </w:r>
      <w:r w:rsidR="00410571">
        <w:rPr>
          <w:rFonts w:asciiTheme="majorBidi" w:hAnsiTheme="majorBidi" w:cstheme="majorBidi"/>
          <w:sz w:val="24"/>
          <w:szCs w:val="24"/>
        </w:rPr>
        <w:t>cological</w:t>
      </w:r>
      <w:r w:rsidR="00570DA6" w:rsidRPr="00C329A3">
        <w:rPr>
          <w:rFonts w:asciiTheme="majorBidi" w:hAnsiTheme="majorBidi" w:cstheme="majorBidi"/>
          <w:sz w:val="24"/>
          <w:szCs w:val="24"/>
        </w:rPr>
        <w:t>,</w:t>
      </w:r>
      <w:r w:rsidR="003B4F77">
        <w:rPr>
          <w:rFonts w:asciiTheme="majorBidi" w:hAnsiTheme="majorBidi" w:cstheme="majorBidi"/>
          <w:sz w:val="24"/>
          <w:szCs w:val="24"/>
        </w:rPr>
        <w:t xml:space="preserve"> Assessment,</w:t>
      </w:r>
      <w:r w:rsidR="00570DA6" w:rsidRPr="00C329A3">
        <w:rPr>
          <w:rFonts w:asciiTheme="majorBidi" w:hAnsiTheme="majorBidi" w:cstheme="majorBidi"/>
          <w:sz w:val="24"/>
          <w:szCs w:val="24"/>
        </w:rPr>
        <w:t xml:space="preserve"> Heavy Metals</w:t>
      </w:r>
      <w:r w:rsidR="00603D7A">
        <w:rPr>
          <w:rFonts w:asciiTheme="majorBidi" w:hAnsiTheme="majorBidi" w:cstheme="majorBidi"/>
          <w:sz w:val="24"/>
          <w:szCs w:val="24"/>
        </w:rPr>
        <w:t>,</w:t>
      </w:r>
      <w:r w:rsidR="00570DA6" w:rsidRPr="00C329A3">
        <w:rPr>
          <w:rFonts w:asciiTheme="majorBidi" w:hAnsiTheme="majorBidi" w:cstheme="majorBidi"/>
          <w:sz w:val="24"/>
          <w:szCs w:val="24"/>
        </w:rPr>
        <w:t xml:space="preserve"> Soil, Shewasoor</w:t>
      </w:r>
      <w:r w:rsidR="00B63FA6">
        <w:rPr>
          <w:rFonts w:asciiTheme="majorBidi" w:hAnsiTheme="majorBidi" w:cstheme="majorBidi"/>
          <w:sz w:val="24"/>
          <w:szCs w:val="24"/>
        </w:rPr>
        <w:t xml:space="preserve"> Sub-basin</w:t>
      </w:r>
      <w:r w:rsidR="00570DA6" w:rsidRPr="00C329A3">
        <w:rPr>
          <w:rFonts w:asciiTheme="majorBidi" w:hAnsiTheme="majorBidi" w:cstheme="majorBidi"/>
          <w:sz w:val="24"/>
          <w:szCs w:val="24"/>
        </w:rPr>
        <w:t>.</w:t>
      </w:r>
    </w:p>
    <w:p w:rsidR="00C97301" w:rsidRPr="00C856FA" w:rsidRDefault="007A4B8E" w:rsidP="00C329A3">
      <w:pPr>
        <w:spacing w:line="240" w:lineRule="auto"/>
        <w:rPr>
          <w:rFonts w:asciiTheme="majorBidi" w:hAnsiTheme="majorBidi" w:cstheme="majorBidi"/>
          <w:b/>
          <w:bCs/>
          <w:i/>
          <w:iCs/>
          <w:sz w:val="24"/>
          <w:szCs w:val="24"/>
        </w:rPr>
      </w:pPr>
      <w:r w:rsidRPr="00C856FA">
        <w:rPr>
          <w:rFonts w:asciiTheme="majorBidi" w:hAnsiTheme="majorBidi" w:cstheme="majorBidi"/>
          <w:b/>
          <w:bCs/>
          <w:i/>
          <w:iCs/>
          <w:sz w:val="24"/>
          <w:szCs w:val="24"/>
        </w:rPr>
        <w:t>1.</w:t>
      </w:r>
      <w:r w:rsidR="00C97301" w:rsidRPr="00C856FA">
        <w:rPr>
          <w:rFonts w:asciiTheme="majorBidi" w:hAnsiTheme="majorBidi" w:cstheme="majorBidi"/>
          <w:b/>
          <w:bCs/>
          <w:i/>
          <w:iCs/>
          <w:sz w:val="24"/>
          <w:szCs w:val="24"/>
        </w:rPr>
        <w:t>Introduction:</w:t>
      </w:r>
    </w:p>
    <w:p w:rsidR="00974335" w:rsidRPr="00C329A3" w:rsidRDefault="008960E4" w:rsidP="00C329A3">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974335" w:rsidRPr="00C329A3">
        <w:rPr>
          <w:rFonts w:asciiTheme="majorBidi" w:hAnsiTheme="majorBidi" w:cstheme="majorBidi"/>
          <w:sz w:val="24"/>
          <w:szCs w:val="24"/>
        </w:rPr>
        <w:t xml:space="preserve">The soil is an important component of terrestrial ecosystems, it’s very sensitive to environmental change. </w:t>
      </w:r>
      <w:r w:rsidR="003A44B3" w:rsidRPr="003A44B3">
        <w:rPr>
          <w:rFonts w:asciiTheme="majorBidi" w:hAnsiTheme="majorBidi" w:cstheme="majorBidi"/>
          <w:sz w:val="24"/>
          <w:szCs w:val="24"/>
        </w:rPr>
        <w:t xml:space="preserve">the soil can contaminate by introducing of pollutants from different pathways </w:t>
      </w:r>
      <w:r w:rsidR="00974335" w:rsidRPr="00C329A3">
        <w:rPr>
          <w:rFonts w:asciiTheme="majorBidi" w:hAnsiTheme="majorBidi" w:cstheme="majorBidi"/>
          <w:sz w:val="24"/>
          <w:szCs w:val="24"/>
        </w:rPr>
        <w:t xml:space="preserve">(Van der </w:t>
      </w:r>
      <w:r w:rsidR="00974335" w:rsidRPr="00A971F7">
        <w:rPr>
          <w:rFonts w:asciiTheme="majorBidi" w:hAnsiTheme="majorBidi" w:cstheme="majorBidi"/>
          <w:noProof/>
          <w:sz w:val="24"/>
          <w:szCs w:val="24"/>
        </w:rPr>
        <w:t>Perk</w:t>
      </w:r>
      <w:r w:rsidR="00974335" w:rsidRPr="00C329A3">
        <w:rPr>
          <w:rFonts w:asciiTheme="majorBidi" w:hAnsiTheme="majorBidi" w:cstheme="majorBidi"/>
          <w:sz w:val="24"/>
          <w:szCs w:val="24"/>
        </w:rPr>
        <w:t xml:space="preserve">, 2006; Bullock and Gregory, 1991). The contribution of heavy metals from anthropogenic sources in soil is higher than the contribution from natural sources (Nriagu and Pacyna, 1988). </w:t>
      </w:r>
      <w:r w:rsidR="0038525D" w:rsidRPr="0038525D">
        <w:rPr>
          <w:rFonts w:asciiTheme="majorBidi" w:hAnsiTheme="majorBidi" w:cstheme="majorBidi"/>
          <w:sz w:val="24"/>
          <w:szCs w:val="24"/>
        </w:rPr>
        <w:t xml:space="preserve">The soil contamination with heavy metals is of one the most ecological problems because it's related directly to the human health. </w:t>
      </w:r>
      <w:r w:rsidR="00974335" w:rsidRPr="00C329A3">
        <w:rPr>
          <w:rFonts w:asciiTheme="majorBidi" w:hAnsiTheme="majorBidi" w:cstheme="majorBidi"/>
          <w:sz w:val="24"/>
          <w:szCs w:val="24"/>
        </w:rPr>
        <w:t>(Li et al., 2014; Li et al., 2012; Zhao et al., 2012). The heavy metals are dangerous pollutants unlike other pollutants because they are non-degradable for that accumulate in the soil, the effects of these metals may be reflected in the plant behavior, microbiological processes and transfer of toxic levels of the elements to man and animals, these elements have negative effects on human health and on the environment especially on the children (Nouri et al., 2006; Pekey, 2006; Abdelhafez et al., 2012; Harikumar et al., 2010; Campbell et al., 2001; Nickolson et al., 2003). Some heavy metals play an essential role in biochemical processes, most organisms required these metals in</w:t>
      </w:r>
      <w:r w:rsidR="008C6A5B">
        <w:rPr>
          <w:rFonts w:asciiTheme="majorBidi" w:hAnsiTheme="majorBidi" w:cstheme="majorBidi"/>
          <w:sz w:val="24"/>
          <w:szCs w:val="24"/>
        </w:rPr>
        <w:t xml:space="preserve"> a</w:t>
      </w:r>
      <w:r w:rsidR="00974335" w:rsidRPr="00C329A3">
        <w:rPr>
          <w:rFonts w:asciiTheme="majorBidi" w:hAnsiTheme="majorBidi" w:cstheme="majorBidi"/>
          <w:sz w:val="24"/>
          <w:szCs w:val="24"/>
        </w:rPr>
        <w:t xml:space="preserve"> </w:t>
      </w:r>
      <w:r w:rsidR="00974335" w:rsidRPr="008C6A5B">
        <w:rPr>
          <w:rFonts w:asciiTheme="majorBidi" w:hAnsiTheme="majorBidi" w:cstheme="majorBidi"/>
          <w:noProof/>
          <w:sz w:val="24"/>
          <w:szCs w:val="24"/>
        </w:rPr>
        <w:t>small amount</w:t>
      </w:r>
      <w:r w:rsidR="00974335" w:rsidRPr="00C329A3">
        <w:rPr>
          <w:rFonts w:asciiTheme="majorBidi" w:hAnsiTheme="majorBidi" w:cstheme="majorBidi"/>
          <w:sz w:val="24"/>
          <w:szCs w:val="24"/>
        </w:rPr>
        <w:t xml:space="preserve"> for normally healthy growth (e.g. Zn, Cu, and Cr) (Van der Perk, 2006), but become toxic at higher concentration (Lane and Morel, 2009). Other heavy metals are not essential and do not cause deficiency disorders if absent (e.g. Cd, Pb, and As) (Van der Perk, 2006), these metals toxic at low levels of exposure (Van der Perk, 2006; Kabata-Pendias, 2011). Absorption of heavy metals by the body for</w:t>
      </w:r>
      <w:r w:rsidR="008C6A5B">
        <w:rPr>
          <w:rFonts w:asciiTheme="majorBidi" w:hAnsiTheme="majorBidi" w:cstheme="majorBidi"/>
          <w:sz w:val="24"/>
          <w:szCs w:val="24"/>
        </w:rPr>
        <w:t xml:space="preserve"> a</w:t>
      </w:r>
      <w:r w:rsidR="00974335" w:rsidRPr="00C329A3">
        <w:rPr>
          <w:rFonts w:asciiTheme="majorBidi" w:hAnsiTheme="majorBidi" w:cstheme="majorBidi"/>
          <w:sz w:val="24"/>
          <w:szCs w:val="24"/>
        </w:rPr>
        <w:t xml:space="preserve"> </w:t>
      </w:r>
      <w:r w:rsidR="00974335" w:rsidRPr="008C6A5B">
        <w:rPr>
          <w:rFonts w:asciiTheme="majorBidi" w:hAnsiTheme="majorBidi" w:cstheme="majorBidi"/>
          <w:noProof/>
          <w:sz w:val="24"/>
          <w:szCs w:val="24"/>
        </w:rPr>
        <w:t>period</w:t>
      </w:r>
      <w:r w:rsidR="00974335" w:rsidRPr="00C329A3">
        <w:rPr>
          <w:rFonts w:asciiTheme="majorBidi" w:hAnsiTheme="majorBidi" w:cstheme="majorBidi"/>
          <w:sz w:val="24"/>
          <w:szCs w:val="24"/>
        </w:rPr>
        <w:t xml:space="preserve"> of time (years or decades) lead to accumulation these metals in vital organs like brain, liver, bones, and kidneys, then causing serious health consequences (Kabata-</w:t>
      </w:r>
      <w:r w:rsidR="00974335" w:rsidRPr="00C329A3">
        <w:rPr>
          <w:rFonts w:asciiTheme="majorBidi" w:hAnsiTheme="majorBidi" w:cstheme="majorBidi"/>
          <w:sz w:val="24"/>
          <w:szCs w:val="24"/>
        </w:rPr>
        <w:lastRenderedPageBreak/>
        <w:t>Pendias, 2011). Hence, the study of heavy metals pollution in soil and assess its environmental risks to the agricultural products and human health very important and necessary (Wang et al., 2014).</w:t>
      </w:r>
      <w:r w:rsidR="008C6A5B">
        <w:rPr>
          <w:rFonts w:asciiTheme="majorBidi" w:hAnsiTheme="majorBidi" w:cstheme="majorBidi"/>
          <w:sz w:val="24"/>
          <w:szCs w:val="24"/>
        </w:rPr>
        <w:t xml:space="preserve"> The</w:t>
      </w:r>
      <w:r w:rsidR="002470AD">
        <w:rPr>
          <w:rFonts w:asciiTheme="majorBidi" w:hAnsiTheme="majorBidi" w:cstheme="majorBidi"/>
          <w:sz w:val="24"/>
          <w:szCs w:val="24"/>
        </w:rPr>
        <w:t xml:space="preserve"> </w:t>
      </w:r>
      <w:r w:rsidR="002470AD" w:rsidRPr="008C6A5B">
        <w:rPr>
          <w:rFonts w:asciiTheme="majorBidi" w:hAnsiTheme="majorBidi" w:cstheme="majorBidi"/>
          <w:noProof/>
          <w:sz w:val="24"/>
          <w:szCs w:val="24"/>
        </w:rPr>
        <w:t xml:space="preserve">current </w:t>
      </w:r>
      <w:r w:rsidR="008C6A5B">
        <w:rPr>
          <w:rFonts w:asciiTheme="majorBidi" w:hAnsiTheme="majorBidi" w:cstheme="majorBidi"/>
          <w:noProof/>
          <w:sz w:val="24"/>
          <w:szCs w:val="24"/>
        </w:rPr>
        <w:t>research aimed to</w:t>
      </w:r>
      <w:r w:rsidR="00974335" w:rsidRPr="00C329A3">
        <w:rPr>
          <w:rFonts w:asciiTheme="majorBidi" w:hAnsiTheme="majorBidi" w:cstheme="majorBidi"/>
          <w:sz w:val="24"/>
          <w:szCs w:val="24"/>
        </w:rPr>
        <w:t xml:space="preserve"> 1) Determine the </w:t>
      </w:r>
      <w:r w:rsidR="00F1453C">
        <w:rPr>
          <w:rFonts w:asciiTheme="majorBidi" w:hAnsiTheme="majorBidi" w:cstheme="majorBidi"/>
          <w:sz w:val="24"/>
          <w:szCs w:val="24"/>
        </w:rPr>
        <w:t>concentration</w:t>
      </w:r>
      <w:r w:rsidR="00974335" w:rsidRPr="00C329A3">
        <w:rPr>
          <w:rFonts w:asciiTheme="majorBidi" w:hAnsiTheme="majorBidi" w:cstheme="majorBidi"/>
          <w:sz w:val="24"/>
          <w:szCs w:val="24"/>
        </w:rPr>
        <w:t xml:space="preserve"> of heavy metals in the soil of </w:t>
      </w:r>
      <w:r w:rsidR="00A21EBA">
        <w:rPr>
          <w:rFonts w:asciiTheme="majorBidi" w:hAnsiTheme="majorBidi" w:cstheme="majorBidi"/>
          <w:sz w:val="24"/>
          <w:szCs w:val="24"/>
        </w:rPr>
        <w:t>S</w:t>
      </w:r>
      <w:r w:rsidR="002470AD">
        <w:rPr>
          <w:rFonts w:asciiTheme="majorBidi" w:hAnsiTheme="majorBidi" w:cstheme="majorBidi"/>
          <w:sz w:val="24"/>
          <w:szCs w:val="24"/>
        </w:rPr>
        <w:t>hewasoor sub-basin</w:t>
      </w:r>
      <w:r w:rsidR="00974335" w:rsidRPr="00C329A3">
        <w:rPr>
          <w:rFonts w:asciiTheme="majorBidi" w:hAnsiTheme="majorBidi" w:cstheme="majorBidi"/>
          <w:sz w:val="24"/>
          <w:szCs w:val="24"/>
        </w:rPr>
        <w:t xml:space="preserve">. 2) </w:t>
      </w:r>
      <w:r w:rsidR="005163FD">
        <w:rPr>
          <w:rFonts w:asciiTheme="majorBidi" w:hAnsiTheme="majorBidi" w:cstheme="majorBidi"/>
          <w:sz w:val="24"/>
          <w:szCs w:val="24"/>
        </w:rPr>
        <w:t>E</w:t>
      </w:r>
      <w:r w:rsidR="002470AD">
        <w:rPr>
          <w:rFonts w:asciiTheme="majorBidi" w:hAnsiTheme="majorBidi" w:cstheme="majorBidi"/>
          <w:sz w:val="24"/>
          <w:szCs w:val="24"/>
        </w:rPr>
        <w:t>cological</w:t>
      </w:r>
      <w:r w:rsidR="005163FD">
        <w:rPr>
          <w:rFonts w:asciiTheme="majorBidi" w:hAnsiTheme="majorBidi" w:cstheme="majorBidi"/>
          <w:sz w:val="24"/>
          <w:szCs w:val="24"/>
        </w:rPr>
        <w:t xml:space="preserve"> </w:t>
      </w:r>
      <w:r w:rsidR="002470AD" w:rsidRPr="008C6A5B">
        <w:rPr>
          <w:rFonts w:asciiTheme="majorBidi" w:hAnsiTheme="majorBidi" w:cstheme="majorBidi"/>
          <w:noProof/>
          <w:sz w:val="24"/>
          <w:szCs w:val="24"/>
        </w:rPr>
        <w:t>ass</w:t>
      </w:r>
      <w:r w:rsidR="008C6A5B">
        <w:rPr>
          <w:rFonts w:asciiTheme="majorBidi" w:hAnsiTheme="majorBidi" w:cstheme="majorBidi"/>
          <w:noProof/>
          <w:sz w:val="24"/>
          <w:szCs w:val="24"/>
        </w:rPr>
        <w:t>e</w:t>
      </w:r>
      <w:r w:rsidR="002470AD" w:rsidRPr="008C6A5B">
        <w:rPr>
          <w:rFonts w:asciiTheme="majorBidi" w:hAnsiTheme="majorBidi" w:cstheme="majorBidi"/>
          <w:noProof/>
          <w:sz w:val="24"/>
          <w:szCs w:val="24"/>
        </w:rPr>
        <w:t>ssment</w:t>
      </w:r>
      <w:r w:rsidR="005163FD">
        <w:rPr>
          <w:rFonts w:asciiTheme="majorBidi" w:hAnsiTheme="majorBidi" w:cstheme="majorBidi"/>
          <w:sz w:val="24"/>
          <w:szCs w:val="24"/>
        </w:rPr>
        <w:t xml:space="preserve"> of </w:t>
      </w:r>
      <w:r w:rsidR="00334D2A">
        <w:rPr>
          <w:rFonts w:asciiTheme="majorBidi" w:hAnsiTheme="majorBidi" w:cstheme="majorBidi"/>
          <w:sz w:val="24"/>
          <w:szCs w:val="24"/>
        </w:rPr>
        <w:t xml:space="preserve">the soil of </w:t>
      </w:r>
      <w:r w:rsidR="00F1453C">
        <w:rPr>
          <w:rFonts w:asciiTheme="majorBidi" w:hAnsiTheme="majorBidi" w:cstheme="majorBidi"/>
          <w:sz w:val="24"/>
          <w:szCs w:val="24"/>
        </w:rPr>
        <w:t>Shewasoor</w:t>
      </w:r>
      <w:r w:rsidR="002470AD">
        <w:rPr>
          <w:rFonts w:asciiTheme="majorBidi" w:hAnsiTheme="majorBidi" w:cstheme="majorBidi"/>
          <w:sz w:val="24"/>
          <w:szCs w:val="24"/>
        </w:rPr>
        <w:t xml:space="preserve"> sub-basin</w:t>
      </w:r>
      <w:r w:rsidR="00F1453C">
        <w:rPr>
          <w:rFonts w:asciiTheme="majorBidi" w:hAnsiTheme="majorBidi" w:cstheme="majorBidi"/>
          <w:sz w:val="24"/>
          <w:szCs w:val="24"/>
        </w:rPr>
        <w:t xml:space="preserve"> </w:t>
      </w:r>
      <w:r w:rsidR="00974335" w:rsidRPr="00C329A3">
        <w:rPr>
          <w:rFonts w:asciiTheme="majorBidi" w:hAnsiTheme="majorBidi" w:cstheme="majorBidi"/>
          <w:sz w:val="24"/>
          <w:szCs w:val="24"/>
        </w:rPr>
        <w:t xml:space="preserve">using </w:t>
      </w:r>
      <w:r w:rsidR="00A971F7">
        <w:rPr>
          <w:rFonts w:asciiTheme="majorBidi" w:hAnsiTheme="majorBidi" w:cstheme="majorBidi"/>
          <w:sz w:val="24"/>
          <w:szCs w:val="24"/>
        </w:rPr>
        <w:t>P</w:t>
      </w:r>
      <w:r w:rsidR="00974335" w:rsidRPr="00C329A3">
        <w:rPr>
          <w:rFonts w:asciiTheme="majorBidi" w:hAnsiTheme="majorBidi" w:cstheme="majorBidi"/>
          <w:sz w:val="24"/>
          <w:szCs w:val="24"/>
        </w:rPr>
        <w:t>o</w:t>
      </w:r>
      <w:r w:rsidR="00A971F7">
        <w:rPr>
          <w:rFonts w:asciiTheme="majorBidi" w:hAnsiTheme="majorBidi" w:cstheme="majorBidi"/>
          <w:sz w:val="24"/>
          <w:szCs w:val="24"/>
        </w:rPr>
        <w:t>tential ecological risk index, N</w:t>
      </w:r>
      <w:r w:rsidR="00974335" w:rsidRPr="00C329A3">
        <w:rPr>
          <w:rFonts w:asciiTheme="majorBidi" w:hAnsiTheme="majorBidi" w:cstheme="majorBidi"/>
          <w:sz w:val="24"/>
          <w:szCs w:val="24"/>
        </w:rPr>
        <w:t xml:space="preserve">emerow pollution index. 3) </w:t>
      </w:r>
      <w:r w:rsidR="002470AD" w:rsidRPr="002470AD">
        <w:rPr>
          <w:rFonts w:asciiTheme="majorBidi" w:hAnsiTheme="majorBidi" w:cstheme="majorBidi"/>
          <w:sz w:val="24"/>
          <w:szCs w:val="24"/>
        </w:rPr>
        <w:t>Assessment of</w:t>
      </w:r>
      <w:r w:rsidR="00974335" w:rsidRPr="00C329A3">
        <w:rPr>
          <w:rFonts w:asciiTheme="majorBidi" w:hAnsiTheme="majorBidi" w:cstheme="majorBidi"/>
          <w:sz w:val="24"/>
          <w:szCs w:val="24"/>
        </w:rPr>
        <w:t xml:space="preserve"> the potential health risks of heavy metals on the population in the study area </w:t>
      </w:r>
      <w:r w:rsidR="00F917FE" w:rsidRPr="00C329A3">
        <w:rPr>
          <w:rFonts w:asciiTheme="majorBidi" w:hAnsiTheme="majorBidi" w:cstheme="majorBidi"/>
          <w:sz w:val="24"/>
          <w:szCs w:val="24"/>
        </w:rPr>
        <w:t>by an</w:t>
      </w:r>
      <w:r w:rsidR="00974335" w:rsidRPr="00C329A3">
        <w:rPr>
          <w:rFonts w:asciiTheme="majorBidi" w:hAnsiTheme="majorBidi" w:cstheme="majorBidi"/>
          <w:sz w:val="24"/>
          <w:szCs w:val="24"/>
        </w:rPr>
        <w:t xml:space="preserve"> estimate carcinogenic</w:t>
      </w:r>
      <w:r w:rsidR="00F1453C">
        <w:rPr>
          <w:rFonts w:asciiTheme="majorBidi" w:hAnsiTheme="majorBidi" w:cstheme="majorBidi"/>
          <w:sz w:val="24"/>
          <w:szCs w:val="24"/>
        </w:rPr>
        <w:t xml:space="preserve"> risk</w:t>
      </w:r>
      <w:r w:rsidR="00974335" w:rsidRPr="00C329A3">
        <w:rPr>
          <w:rFonts w:asciiTheme="majorBidi" w:hAnsiTheme="majorBidi" w:cstheme="majorBidi"/>
          <w:sz w:val="24"/>
          <w:szCs w:val="24"/>
        </w:rPr>
        <w:t xml:space="preserve"> an</w:t>
      </w:r>
      <w:r w:rsidR="00DE1857">
        <w:rPr>
          <w:rFonts w:asciiTheme="majorBidi" w:hAnsiTheme="majorBidi" w:cstheme="majorBidi"/>
          <w:sz w:val="24"/>
          <w:szCs w:val="24"/>
        </w:rPr>
        <w:t xml:space="preserve">d non-carcinogenic </w:t>
      </w:r>
      <w:r w:rsidR="00F1453C">
        <w:rPr>
          <w:rFonts w:asciiTheme="majorBidi" w:hAnsiTheme="majorBidi" w:cstheme="majorBidi"/>
          <w:sz w:val="24"/>
          <w:szCs w:val="24"/>
        </w:rPr>
        <w:t>hazard</w:t>
      </w:r>
      <w:r w:rsidR="00974335" w:rsidRPr="00C329A3">
        <w:rPr>
          <w:rFonts w:asciiTheme="majorBidi" w:hAnsiTheme="majorBidi" w:cstheme="majorBidi"/>
          <w:sz w:val="24"/>
          <w:szCs w:val="24"/>
        </w:rPr>
        <w:t>.</w:t>
      </w:r>
    </w:p>
    <w:p w:rsidR="007A4B8E" w:rsidRPr="00C856FA" w:rsidRDefault="007A4B8E" w:rsidP="00C329A3">
      <w:pPr>
        <w:spacing w:line="240" w:lineRule="auto"/>
        <w:rPr>
          <w:rFonts w:asciiTheme="majorBidi" w:hAnsiTheme="majorBidi" w:cstheme="majorBidi"/>
          <w:b/>
          <w:bCs/>
          <w:i/>
          <w:iCs/>
          <w:sz w:val="24"/>
          <w:szCs w:val="24"/>
        </w:rPr>
      </w:pPr>
      <w:r w:rsidRPr="00C856FA">
        <w:rPr>
          <w:rFonts w:asciiTheme="majorBidi" w:hAnsiTheme="majorBidi" w:cstheme="majorBidi"/>
          <w:b/>
          <w:bCs/>
          <w:i/>
          <w:iCs/>
          <w:sz w:val="24"/>
          <w:szCs w:val="24"/>
        </w:rPr>
        <w:t>2. Study Area:</w:t>
      </w:r>
    </w:p>
    <w:p w:rsidR="007A4B8E" w:rsidRPr="00C329A3" w:rsidRDefault="007A4B8E" w:rsidP="00A21EBA">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     </w:t>
      </w:r>
      <w:bookmarkStart w:id="2" w:name="_Hlk476945242"/>
      <w:r w:rsidRPr="00C329A3">
        <w:rPr>
          <w:rFonts w:asciiTheme="majorBidi" w:hAnsiTheme="majorBidi" w:cstheme="majorBidi"/>
          <w:sz w:val="24"/>
          <w:szCs w:val="24"/>
        </w:rPr>
        <w:t xml:space="preserve">The study area </w:t>
      </w:r>
      <w:r w:rsidR="00183E4F">
        <w:rPr>
          <w:rFonts w:asciiTheme="majorBidi" w:hAnsiTheme="majorBidi" w:cstheme="majorBidi"/>
          <w:sz w:val="24"/>
          <w:szCs w:val="24"/>
        </w:rPr>
        <w:t xml:space="preserve">is </w:t>
      </w:r>
      <w:r w:rsidRPr="00C329A3">
        <w:rPr>
          <w:rFonts w:asciiTheme="majorBidi" w:hAnsiTheme="majorBidi" w:cstheme="majorBidi"/>
          <w:sz w:val="24"/>
          <w:szCs w:val="24"/>
        </w:rPr>
        <w:t>locate</w:t>
      </w:r>
      <w:r w:rsidR="00183E4F">
        <w:rPr>
          <w:rFonts w:asciiTheme="majorBidi" w:hAnsiTheme="majorBidi" w:cstheme="majorBidi"/>
          <w:sz w:val="24"/>
          <w:szCs w:val="24"/>
        </w:rPr>
        <w:t>d</w:t>
      </w:r>
      <w:r w:rsidRPr="00C329A3">
        <w:rPr>
          <w:rFonts w:asciiTheme="majorBidi" w:hAnsiTheme="majorBidi" w:cstheme="majorBidi"/>
          <w:sz w:val="24"/>
          <w:szCs w:val="24"/>
        </w:rPr>
        <w:t xml:space="preserve"> to the northeastern part of Iraq, between longitudes (44° 30' 0.1"- 44° 40' 41.06") and latitudes (</w:t>
      </w:r>
      <w:r w:rsidR="00CC714A" w:rsidRPr="00C329A3">
        <w:rPr>
          <w:rFonts w:asciiTheme="majorBidi" w:hAnsiTheme="majorBidi" w:cstheme="majorBidi"/>
          <w:sz w:val="24"/>
          <w:szCs w:val="24"/>
        </w:rPr>
        <w:t>35° 41' 25"- 35° 51' 40.2")</w:t>
      </w:r>
      <w:r w:rsidR="00C83C07">
        <w:rPr>
          <w:rFonts w:asciiTheme="majorBidi" w:hAnsiTheme="majorBidi" w:cstheme="majorBidi"/>
          <w:sz w:val="24"/>
          <w:szCs w:val="24"/>
        </w:rPr>
        <w:t xml:space="preserve">, apart about 39 km to the north east of </w:t>
      </w:r>
      <w:r w:rsidR="00C83C07" w:rsidRPr="00C329A3">
        <w:rPr>
          <w:rFonts w:asciiTheme="majorBidi" w:hAnsiTheme="majorBidi" w:cstheme="majorBidi"/>
          <w:sz w:val="24"/>
          <w:szCs w:val="24"/>
        </w:rPr>
        <w:t>Kirkuk city</w:t>
      </w:r>
      <w:r w:rsidR="00C83C07">
        <w:rPr>
          <w:rFonts w:asciiTheme="majorBidi" w:hAnsiTheme="majorBidi" w:cstheme="majorBidi"/>
          <w:sz w:val="24"/>
          <w:szCs w:val="24"/>
        </w:rPr>
        <w:t xml:space="preserve">, </w:t>
      </w:r>
      <w:r w:rsidR="0061694D" w:rsidRPr="00C329A3">
        <w:rPr>
          <w:rFonts w:asciiTheme="majorBidi" w:hAnsiTheme="majorBidi" w:cstheme="majorBidi"/>
          <w:sz w:val="24"/>
          <w:szCs w:val="24"/>
        </w:rPr>
        <w:t>c</w:t>
      </w:r>
      <w:r w:rsidRPr="00C329A3">
        <w:rPr>
          <w:rFonts w:asciiTheme="majorBidi" w:hAnsiTheme="majorBidi" w:cstheme="majorBidi"/>
          <w:sz w:val="24"/>
          <w:szCs w:val="24"/>
        </w:rPr>
        <w:t>over</w:t>
      </w:r>
      <w:r w:rsidR="0061694D" w:rsidRPr="00C329A3">
        <w:rPr>
          <w:rFonts w:asciiTheme="majorBidi" w:hAnsiTheme="majorBidi" w:cstheme="majorBidi"/>
          <w:sz w:val="24"/>
          <w:szCs w:val="24"/>
        </w:rPr>
        <w:t>s</w:t>
      </w:r>
      <w:r w:rsidRPr="00C329A3">
        <w:rPr>
          <w:rFonts w:asciiTheme="majorBidi" w:hAnsiTheme="majorBidi" w:cstheme="majorBidi"/>
          <w:sz w:val="24"/>
          <w:szCs w:val="24"/>
        </w:rPr>
        <w:t xml:space="preserve"> about 160 </w:t>
      </w:r>
      <m:oMath>
        <m:sSup>
          <m:sSupPr>
            <m:ctrlPr>
              <w:rPr>
                <w:rFonts w:ascii="Cambria Math" w:hAnsi="Cambria Math" w:cstheme="majorBidi"/>
                <w:i/>
                <w:sz w:val="24"/>
                <w:szCs w:val="24"/>
              </w:rPr>
            </m:ctrlPr>
          </m:sSupPr>
          <m:e>
            <m:r>
              <w:rPr>
                <w:rFonts w:ascii="Cambria Math" w:hAnsi="Cambria Math" w:cstheme="majorBidi"/>
                <w:sz w:val="24"/>
                <w:szCs w:val="24"/>
              </w:rPr>
              <m:t>Km</m:t>
            </m:r>
          </m:e>
          <m:sup>
            <m:r>
              <w:rPr>
                <w:rFonts w:ascii="Cambria Math" w:hAnsi="Cambria Math" w:cstheme="majorBidi"/>
                <w:sz w:val="24"/>
                <w:szCs w:val="24"/>
              </w:rPr>
              <m:t>2</m:t>
            </m:r>
          </m:sup>
        </m:sSup>
      </m:oMath>
      <w:r w:rsidRPr="00C329A3">
        <w:rPr>
          <w:rFonts w:asciiTheme="majorBidi" w:hAnsiTheme="majorBidi" w:cstheme="majorBidi"/>
          <w:sz w:val="24"/>
          <w:szCs w:val="24"/>
        </w:rPr>
        <w:t>.</w:t>
      </w:r>
      <w:bookmarkEnd w:id="2"/>
      <w:r w:rsidRPr="00C329A3">
        <w:rPr>
          <w:rFonts w:asciiTheme="majorBidi" w:hAnsiTheme="majorBidi" w:cstheme="majorBidi"/>
          <w:sz w:val="24"/>
          <w:szCs w:val="24"/>
        </w:rPr>
        <w:t xml:space="preserve"> The study area</w:t>
      </w:r>
      <w:r w:rsidR="00C83C07">
        <w:rPr>
          <w:rFonts w:asciiTheme="majorBidi" w:hAnsiTheme="majorBidi" w:cstheme="majorBidi"/>
          <w:sz w:val="24"/>
          <w:szCs w:val="24"/>
        </w:rPr>
        <w:t xml:space="preserve"> is</w:t>
      </w:r>
      <w:r w:rsidRPr="00C329A3">
        <w:rPr>
          <w:rFonts w:asciiTheme="majorBidi" w:hAnsiTheme="majorBidi" w:cstheme="majorBidi"/>
          <w:sz w:val="24"/>
          <w:szCs w:val="24"/>
        </w:rPr>
        <w:t xml:space="preserve"> bounded by Taqtaq Anticline from </w:t>
      </w:r>
      <w:r w:rsidR="00C83C07">
        <w:rPr>
          <w:rFonts w:asciiTheme="majorBidi" w:hAnsiTheme="majorBidi" w:cstheme="majorBidi"/>
          <w:sz w:val="24"/>
          <w:szCs w:val="24"/>
        </w:rPr>
        <w:t>north</w:t>
      </w:r>
      <w:r w:rsidRPr="00C329A3">
        <w:rPr>
          <w:rFonts w:asciiTheme="majorBidi" w:hAnsiTheme="majorBidi" w:cstheme="majorBidi"/>
          <w:sz w:val="24"/>
          <w:szCs w:val="24"/>
        </w:rPr>
        <w:t xml:space="preserve"> and </w:t>
      </w:r>
      <w:r w:rsidR="000B51D9" w:rsidRPr="00C329A3">
        <w:rPr>
          <w:rFonts w:asciiTheme="majorBidi" w:hAnsiTheme="majorBidi" w:cstheme="majorBidi"/>
          <w:sz w:val="24"/>
          <w:szCs w:val="24"/>
        </w:rPr>
        <w:t>northeast sides,</w:t>
      </w:r>
      <w:r w:rsidR="008538AA">
        <w:rPr>
          <w:rFonts w:asciiTheme="majorBidi" w:hAnsiTheme="majorBidi" w:cstheme="majorBidi"/>
          <w:sz w:val="24"/>
          <w:szCs w:val="24"/>
        </w:rPr>
        <w:t xml:space="preserve"> </w:t>
      </w:r>
      <w:r w:rsidR="002568D5">
        <w:rPr>
          <w:rFonts w:asciiTheme="majorBidi" w:hAnsiTheme="majorBidi" w:cstheme="majorBidi"/>
          <w:sz w:val="24"/>
          <w:szCs w:val="24"/>
        </w:rPr>
        <w:t xml:space="preserve">by Northern </w:t>
      </w:r>
      <w:r w:rsidR="002568D5" w:rsidRPr="00C329A3">
        <w:rPr>
          <w:rFonts w:asciiTheme="majorBidi" w:hAnsiTheme="majorBidi" w:cstheme="majorBidi"/>
          <w:sz w:val="24"/>
          <w:szCs w:val="24"/>
        </w:rPr>
        <w:t>ChamChamal Anticline from west and southwest sides</w:t>
      </w:r>
      <w:r w:rsidR="002568D5">
        <w:rPr>
          <w:rFonts w:asciiTheme="majorBidi" w:hAnsiTheme="majorBidi" w:cstheme="majorBidi"/>
          <w:sz w:val="24"/>
          <w:szCs w:val="24"/>
        </w:rPr>
        <w:t>, and</w:t>
      </w:r>
      <w:r w:rsidR="000B51D9" w:rsidRPr="00C329A3">
        <w:rPr>
          <w:rFonts w:asciiTheme="majorBidi" w:hAnsiTheme="majorBidi" w:cstheme="majorBidi"/>
          <w:sz w:val="24"/>
          <w:szCs w:val="24"/>
        </w:rPr>
        <w:t xml:space="preserve"> </w:t>
      </w:r>
      <w:r w:rsidR="008538AA" w:rsidRPr="00C329A3">
        <w:rPr>
          <w:rFonts w:asciiTheme="majorBidi" w:hAnsiTheme="majorBidi" w:cstheme="majorBidi"/>
          <w:sz w:val="24"/>
          <w:szCs w:val="24"/>
        </w:rPr>
        <w:t>by topographic elevated area from south and southeast sides</w:t>
      </w:r>
      <w:r w:rsidR="002568D5">
        <w:rPr>
          <w:rFonts w:asciiTheme="majorBidi" w:hAnsiTheme="majorBidi" w:cstheme="majorBidi"/>
          <w:sz w:val="24"/>
          <w:szCs w:val="24"/>
        </w:rPr>
        <w:t>.</w:t>
      </w:r>
      <w:r w:rsidRPr="00C329A3">
        <w:rPr>
          <w:rFonts w:asciiTheme="majorBidi" w:hAnsiTheme="majorBidi" w:cstheme="majorBidi"/>
          <w:sz w:val="24"/>
          <w:szCs w:val="24"/>
        </w:rPr>
        <w:t xml:space="preserve"> </w:t>
      </w:r>
      <w:r w:rsidR="000B51D9" w:rsidRPr="00C329A3">
        <w:rPr>
          <w:rFonts w:asciiTheme="majorBidi" w:hAnsiTheme="majorBidi" w:cstheme="majorBidi"/>
          <w:sz w:val="24"/>
          <w:szCs w:val="24"/>
        </w:rPr>
        <w:t>A</w:t>
      </w:r>
      <w:r w:rsidR="0061694D" w:rsidRPr="00C329A3">
        <w:rPr>
          <w:rFonts w:asciiTheme="majorBidi" w:hAnsiTheme="majorBidi" w:cstheme="majorBidi"/>
          <w:sz w:val="24"/>
          <w:szCs w:val="24"/>
        </w:rPr>
        <w:t>lso</w:t>
      </w:r>
      <w:r w:rsidR="000B51D9" w:rsidRPr="00C329A3">
        <w:rPr>
          <w:rFonts w:asciiTheme="majorBidi" w:hAnsiTheme="majorBidi" w:cstheme="majorBidi"/>
          <w:sz w:val="24"/>
          <w:szCs w:val="24"/>
        </w:rPr>
        <w:t>,</w:t>
      </w:r>
      <w:r w:rsidR="0061694D" w:rsidRPr="00C329A3">
        <w:rPr>
          <w:rFonts w:asciiTheme="majorBidi" w:hAnsiTheme="majorBidi" w:cstheme="majorBidi"/>
          <w:sz w:val="24"/>
          <w:szCs w:val="24"/>
        </w:rPr>
        <w:t xml:space="preserve"> the topographic elevations of the study area ranges between (311-1186)</w:t>
      </w:r>
      <w:r w:rsidR="005D377E">
        <w:rPr>
          <w:rFonts w:asciiTheme="majorBidi" w:hAnsiTheme="majorBidi" w:cstheme="majorBidi"/>
          <w:sz w:val="24"/>
          <w:szCs w:val="24"/>
        </w:rPr>
        <w:t xml:space="preserve"> </w:t>
      </w:r>
      <w:r w:rsidR="000B51D9" w:rsidRPr="00C329A3">
        <w:rPr>
          <w:rFonts w:asciiTheme="majorBidi" w:hAnsiTheme="majorBidi" w:cstheme="majorBidi"/>
          <w:sz w:val="24"/>
          <w:szCs w:val="24"/>
        </w:rPr>
        <w:t>m</w:t>
      </w:r>
      <w:r w:rsidR="00C83C07">
        <w:rPr>
          <w:rFonts w:asciiTheme="majorBidi" w:hAnsiTheme="majorBidi" w:cstheme="majorBidi"/>
          <w:sz w:val="24"/>
          <w:szCs w:val="24"/>
        </w:rPr>
        <w:t xml:space="preserve"> </w:t>
      </w:r>
      <w:r w:rsidR="00C83C07" w:rsidRPr="00C329A3">
        <w:rPr>
          <w:rFonts w:asciiTheme="majorBidi" w:hAnsiTheme="majorBidi" w:cstheme="majorBidi"/>
          <w:sz w:val="24"/>
          <w:szCs w:val="24"/>
        </w:rPr>
        <w:t>(Figure 1)</w:t>
      </w:r>
      <w:r w:rsidRPr="00C329A3">
        <w:rPr>
          <w:rFonts w:asciiTheme="majorBidi" w:hAnsiTheme="majorBidi" w:cstheme="majorBidi"/>
          <w:sz w:val="24"/>
          <w:szCs w:val="24"/>
        </w:rPr>
        <w:t xml:space="preserve">. </w:t>
      </w:r>
      <w:bookmarkStart w:id="3" w:name="_Hlk484448915"/>
      <w:r w:rsidR="002779F0" w:rsidRPr="00C329A3">
        <w:rPr>
          <w:rFonts w:asciiTheme="majorBidi" w:hAnsiTheme="majorBidi" w:cstheme="majorBidi"/>
          <w:sz w:val="24"/>
          <w:szCs w:val="24"/>
        </w:rPr>
        <w:t xml:space="preserve">The climate of Iraq is </w:t>
      </w:r>
      <w:r w:rsidR="006F6E40" w:rsidRPr="00C329A3">
        <w:rPr>
          <w:rFonts w:asciiTheme="majorBidi" w:hAnsiTheme="majorBidi" w:cstheme="majorBidi"/>
          <w:sz w:val="24"/>
          <w:szCs w:val="24"/>
        </w:rPr>
        <w:t>generally</w:t>
      </w:r>
      <w:r w:rsidR="002779F0" w:rsidRPr="00C329A3">
        <w:rPr>
          <w:rFonts w:asciiTheme="majorBidi" w:hAnsiTheme="majorBidi" w:cstheme="majorBidi"/>
          <w:sz w:val="24"/>
          <w:szCs w:val="24"/>
        </w:rPr>
        <w:t xml:space="preserve"> </w:t>
      </w:r>
      <w:r w:rsidR="006F6E40" w:rsidRPr="00C329A3">
        <w:rPr>
          <w:rFonts w:asciiTheme="majorBidi" w:hAnsiTheme="majorBidi" w:cstheme="majorBidi"/>
          <w:sz w:val="24"/>
          <w:szCs w:val="24"/>
        </w:rPr>
        <w:t>continental type</w:t>
      </w:r>
      <w:r w:rsidRPr="00C329A3">
        <w:rPr>
          <w:rFonts w:asciiTheme="majorBidi" w:hAnsiTheme="majorBidi" w:cstheme="majorBidi"/>
          <w:sz w:val="24"/>
          <w:szCs w:val="24"/>
        </w:rPr>
        <w:t>, its cold rainy in the winter</w:t>
      </w:r>
      <w:r w:rsidR="00152A8F">
        <w:rPr>
          <w:rFonts w:asciiTheme="majorBidi" w:hAnsiTheme="majorBidi" w:cstheme="majorBidi"/>
          <w:sz w:val="24"/>
          <w:szCs w:val="24"/>
        </w:rPr>
        <w:t xml:space="preserve"> and </w:t>
      </w:r>
      <w:r w:rsidRPr="00C329A3">
        <w:rPr>
          <w:rFonts w:asciiTheme="majorBidi" w:hAnsiTheme="majorBidi" w:cstheme="majorBidi"/>
          <w:sz w:val="24"/>
          <w:szCs w:val="24"/>
        </w:rPr>
        <w:t>hot</w:t>
      </w:r>
      <w:r w:rsidR="00701FAB" w:rsidRPr="00C329A3">
        <w:rPr>
          <w:rFonts w:asciiTheme="majorBidi" w:hAnsiTheme="majorBidi" w:cstheme="majorBidi"/>
          <w:sz w:val="24"/>
          <w:szCs w:val="24"/>
        </w:rPr>
        <w:t xml:space="preserve"> and</w:t>
      </w:r>
      <w:r w:rsidRPr="00C329A3">
        <w:rPr>
          <w:rFonts w:asciiTheme="majorBidi" w:hAnsiTheme="majorBidi" w:cstheme="majorBidi"/>
          <w:sz w:val="24"/>
          <w:szCs w:val="24"/>
        </w:rPr>
        <w:t xml:space="preserve"> </w:t>
      </w:r>
      <w:r w:rsidR="00701FAB" w:rsidRPr="00C329A3">
        <w:rPr>
          <w:rFonts w:asciiTheme="majorBidi" w:hAnsiTheme="majorBidi" w:cstheme="majorBidi"/>
          <w:sz w:val="24"/>
          <w:szCs w:val="24"/>
        </w:rPr>
        <w:t>dry in the summer</w:t>
      </w:r>
      <w:r w:rsidR="006F6E40" w:rsidRPr="00C329A3">
        <w:rPr>
          <w:rFonts w:asciiTheme="majorBidi" w:hAnsiTheme="majorBidi" w:cstheme="majorBidi"/>
          <w:sz w:val="24"/>
          <w:szCs w:val="24"/>
        </w:rPr>
        <w:t xml:space="preserve"> (Jaradat, 2002)</w:t>
      </w:r>
      <w:r w:rsidR="00701FAB" w:rsidRPr="00C329A3">
        <w:rPr>
          <w:rFonts w:asciiTheme="majorBidi" w:hAnsiTheme="majorBidi" w:cstheme="majorBidi"/>
          <w:sz w:val="24"/>
          <w:szCs w:val="24"/>
        </w:rPr>
        <w:t xml:space="preserve">. </w:t>
      </w:r>
      <w:bookmarkEnd w:id="3"/>
    </w:p>
    <w:p w:rsidR="004A2844" w:rsidRPr="00C329A3" w:rsidRDefault="00B10656" w:rsidP="00C329A3">
      <w:pPr>
        <w:spacing w:line="240" w:lineRule="auto"/>
        <w:jc w:val="center"/>
        <w:rPr>
          <w:rFonts w:asciiTheme="majorBidi" w:hAnsiTheme="majorBidi" w:cstheme="majorBidi"/>
          <w:sz w:val="24"/>
          <w:szCs w:val="24"/>
        </w:rPr>
      </w:pPr>
      <w:r w:rsidRPr="00B10656">
        <w:rPr>
          <w:rFonts w:asciiTheme="majorBidi" w:hAnsiTheme="majorBidi" w:cstheme="majorBidi"/>
          <w:noProof/>
          <w:sz w:val="24"/>
          <w:szCs w:val="24"/>
        </w:rPr>
        <w:drawing>
          <wp:inline distT="0" distB="0" distL="0" distR="0">
            <wp:extent cx="4438650" cy="3141077"/>
            <wp:effectExtent l="0" t="0" r="0" b="2540"/>
            <wp:docPr id="21" name="Picture 21" descr="C:\Users\MUSTAFA\Desktop\kozal oglan\geology\MS\MAMaMA\Maps and Images\Study area maps\soil sampling-loc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kozal oglan\geology\MS\MAMaMA\Maps and Images\Study area maps\soil sampling-location.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1694" cy="3143231"/>
                    </a:xfrm>
                    <a:prstGeom prst="rect">
                      <a:avLst/>
                    </a:prstGeom>
                    <a:noFill/>
                    <a:ln>
                      <a:noFill/>
                    </a:ln>
                  </pic:spPr>
                </pic:pic>
              </a:graphicData>
            </a:graphic>
          </wp:inline>
        </w:drawing>
      </w:r>
    </w:p>
    <w:p w:rsidR="004A2844" w:rsidRDefault="004A2844" w:rsidP="00C329A3">
      <w:pPr>
        <w:spacing w:line="240" w:lineRule="auto"/>
        <w:rPr>
          <w:rFonts w:asciiTheme="majorBidi" w:hAnsiTheme="majorBidi" w:cstheme="majorBidi"/>
          <w:sz w:val="22"/>
          <w:szCs w:val="22"/>
        </w:rPr>
      </w:pPr>
      <w:r w:rsidRPr="00C329A3">
        <w:rPr>
          <w:rFonts w:asciiTheme="majorBidi" w:hAnsiTheme="majorBidi" w:cstheme="majorBidi"/>
          <w:sz w:val="24"/>
          <w:szCs w:val="24"/>
        </w:rPr>
        <w:t xml:space="preserve">   </w:t>
      </w:r>
      <w:r w:rsidR="00F314E8">
        <w:rPr>
          <w:rFonts w:asciiTheme="majorBidi" w:hAnsiTheme="majorBidi" w:cstheme="majorBidi"/>
          <w:sz w:val="24"/>
          <w:szCs w:val="24"/>
        </w:rPr>
        <w:t xml:space="preserve"> </w:t>
      </w:r>
      <w:r w:rsidRPr="00C329A3">
        <w:rPr>
          <w:rFonts w:asciiTheme="majorBidi" w:hAnsiTheme="majorBidi" w:cstheme="majorBidi"/>
          <w:sz w:val="24"/>
          <w:szCs w:val="24"/>
        </w:rPr>
        <w:t xml:space="preserve"> </w:t>
      </w:r>
      <w:r w:rsidR="004B65AB">
        <w:rPr>
          <w:rFonts w:asciiTheme="majorBidi" w:hAnsiTheme="majorBidi" w:cstheme="majorBidi"/>
          <w:sz w:val="24"/>
          <w:szCs w:val="24"/>
        </w:rPr>
        <w:t xml:space="preserve">                 </w:t>
      </w:r>
      <w:r w:rsidRPr="00F314E8">
        <w:rPr>
          <w:rFonts w:asciiTheme="majorBidi" w:hAnsiTheme="majorBidi" w:cstheme="majorBidi"/>
          <w:b/>
          <w:bCs/>
          <w:sz w:val="22"/>
          <w:szCs w:val="22"/>
        </w:rPr>
        <w:t xml:space="preserve">Figure 1. </w:t>
      </w:r>
      <w:r w:rsidR="009A3219" w:rsidRPr="00F314E8">
        <w:rPr>
          <w:rFonts w:asciiTheme="majorBidi" w:hAnsiTheme="majorBidi" w:cstheme="majorBidi"/>
          <w:sz w:val="22"/>
          <w:szCs w:val="22"/>
        </w:rPr>
        <w:t>T</w:t>
      </w:r>
      <w:r w:rsidR="001459BA" w:rsidRPr="00F314E8">
        <w:rPr>
          <w:rFonts w:asciiTheme="majorBidi" w:hAnsiTheme="majorBidi" w:cstheme="majorBidi"/>
          <w:sz w:val="22"/>
          <w:szCs w:val="22"/>
        </w:rPr>
        <w:t>he Location of Study Area and Soil Sampling Sites.</w:t>
      </w:r>
    </w:p>
    <w:p w:rsidR="00F041C5" w:rsidRPr="00C329A3" w:rsidRDefault="00F041C5" w:rsidP="00C329A3">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2.1</w:t>
      </w:r>
      <w:r w:rsidR="009A3219" w:rsidRPr="00C329A3">
        <w:rPr>
          <w:rFonts w:asciiTheme="majorBidi" w:hAnsiTheme="majorBidi" w:cstheme="majorBidi"/>
          <w:b/>
          <w:bCs/>
          <w:i/>
          <w:iCs/>
          <w:sz w:val="24"/>
          <w:szCs w:val="24"/>
        </w:rPr>
        <w:t xml:space="preserve"> Tectonic and</w:t>
      </w:r>
      <w:r w:rsidRPr="00C329A3">
        <w:rPr>
          <w:rFonts w:asciiTheme="majorBidi" w:hAnsiTheme="majorBidi" w:cstheme="majorBidi"/>
          <w:b/>
          <w:bCs/>
          <w:i/>
          <w:iCs/>
          <w:sz w:val="24"/>
          <w:szCs w:val="24"/>
        </w:rPr>
        <w:t xml:space="preserve"> Geological Setting:</w:t>
      </w:r>
    </w:p>
    <w:p w:rsidR="00F041C5" w:rsidRPr="00C329A3" w:rsidRDefault="00F041C5" w:rsidP="00C329A3">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     The study area lies in the Unstable shelf within Foothill zone in Chamchamal-</w:t>
      </w:r>
      <w:r w:rsidR="005C637B" w:rsidRPr="00C329A3">
        <w:rPr>
          <w:rFonts w:asciiTheme="majorBidi" w:hAnsiTheme="majorBidi" w:cstheme="majorBidi"/>
          <w:sz w:val="24"/>
          <w:szCs w:val="24"/>
        </w:rPr>
        <w:t xml:space="preserve">Arbil subzone according to (Al-Kadhimi et al., 1996) tectonic division of Iraq. </w:t>
      </w:r>
      <w:r w:rsidR="003060CF">
        <w:rPr>
          <w:rFonts w:asciiTheme="majorBidi" w:hAnsiTheme="majorBidi" w:cstheme="majorBidi"/>
          <w:noProof/>
          <w:sz w:val="24"/>
          <w:szCs w:val="24"/>
        </w:rPr>
        <w:t>The exposed formations in the study area</w:t>
      </w:r>
      <w:r w:rsidR="005C637B" w:rsidRPr="00C329A3">
        <w:rPr>
          <w:rFonts w:asciiTheme="majorBidi" w:hAnsiTheme="majorBidi" w:cstheme="majorBidi"/>
          <w:sz w:val="24"/>
          <w:szCs w:val="24"/>
        </w:rPr>
        <w:t xml:space="preserve"> extending from oldest (Upper Miocene) up to youngest (Quaternary deposits) </w:t>
      </w:r>
      <w:bookmarkStart w:id="4" w:name="_Hlk480145085"/>
      <w:r w:rsidR="005C637B" w:rsidRPr="00C329A3">
        <w:rPr>
          <w:rFonts w:asciiTheme="majorBidi" w:hAnsiTheme="majorBidi" w:cstheme="majorBidi"/>
          <w:sz w:val="24"/>
          <w:szCs w:val="24"/>
        </w:rPr>
        <w:t>(Sissakian, 1992)</w:t>
      </w:r>
      <w:bookmarkEnd w:id="4"/>
      <w:r w:rsidR="00730DA1">
        <w:rPr>
          <w:rFonts w:asciiTheme="majorBidi" w:hAnsiTheme="majorBidi" w:cstheme="majorBidi"/>
          <w:sz w:val="24"/>
          <w:szCs w:val="24"/>
        </w:rPr>
        <w:t xml:space="preserve">, </w:t>
      </w:r>
      <w:r w:rsidR="0091455A" w:rsidRPr="00C329A3">
        <w:rPr>
          <w:rFonts w:asciiTheme="majorBidi" w:hAnsiTheme="majorBidi" w:cstheme="majorBidi"/>
          <w:sz w:val="24"/>
          <w:szCs w:val="24"/>
        </w:rPr>
        <w:t xml:space="preserve">(Figure 2) </w:t>
      </w:r>
      <w:r w:rsidR="005C637B" w:rsidRPr="00C329A3">
        <w:rPr>
          <w:rFonts w:asciiTheme="majorBidi" w:hAnsiTheme="majorBidi" w:cstheme="majorBidi"/>
          <w:sz w:val="24"/>
          <w:szCs w:val="24"/>
        </w:rPr>
        <w:t>are:</w:t>
      </w:r>
    </w:p>
    <w:p w:rsidR="005C637B" w:rsidRPr="00C329A3" w:rsidRDefault="005C637B"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Injana Formation:</w:t>
      </w:r>
      <w:r w:rsidRPr="00C329A3">
        <w:rPr>
          <w:rFonts w:asciiTheme="majorBidi" w:hAnsiTheme="majorBidi" w:cstheme="majorBidi"/>
          <w:b/>
          <w:bCs/>
          <w:sz w:val="24"/>
          <w:szCs w:val="24"/>
        </w:rPr>
        <w:t xml:space="preserve"> </w:t>
      </w:r>
      <w:r w:rsidR="009A3219" w:rsidRPr="00C329A3">
        <w:rPr>
          <w:rFonts w:asciiTheme="majorBidi" w:hAnsiTheme="majorBidi" w:cstheme="majorBidi"/>
          <w:sz w:val="24"/>
          <w:szCs w:val="24"/>
        </w:rPr>
        <w:t>(</w:t>
      </w:r>
      <w:r w:rsidR="008616D6" w:rsidRPr="00C329A3">
        <w:rPr>
          <w:rFonts w:asciiTheme="majorBidi" w:hAnsiTheme="majorBidi" w:cstheme="majorBidi"/>
          <w:sz w:val="24"/>
          <w:szCs w:val="24"/>
        </w:rPr>
        <w:t>Upper Miocene</w:t>
      </w:r>
      <w:r w:rsidR="009A3219" w:rsidRPr="00C329A3">
        <w:rPr>
          <w:rFonts w:asciiTheme="majorBidi" w:hAnsiTheme="majorBidi" w:cstheme="majorBidi"/>
          <w:sz w:val="24"/>
          <w:szCs w:val="24"/>
        </w:rPr>
        <w:t>)</w:t>
      </w:r>
      <w:r w:rsidR="008616D6" w:rsidRPr="00C329A3">
        <w:rPr>
          <w:rFonts w:asciiTheme="majorBidi" w:hAnsiTheme="majorBidi" w:cstheme="majorBidi"/>
          <w:sz w:val="24"/>
          <w:szCs w:val="24"/>
        </w:rPr>
        <w:t xml:space="preserve">, </w:t>
      </w:r>
      <w:r w:rsidR="008616D6" w:rsidRPr="008C6A5B">
        <w:rPr>
          <w:rFonts w:asciiTheme="majorBidi" w:hAnsiTheme="majorBidi" w:cstheme="majorBidi"/>
          <w:noProof/>
          <w:sz w:val="24"/>
          <w:szCs w:val="24"/>
        </w:rPr>
        <w:t>i</w:t>
      </w:r>
      <w:r w:rsidRPr="008C6A5B">
        <w:rPr>
          <w:rFonts w:asciiTheme="majorBidi" w:hAnsiTheme="majorBidi" w:cstheme="majorBidi"/>
          <w:noProof/>
          <w:sz w:val="24"/>
          <w:szCs w:val="24"/>
        </w:rPr>
        <w:t>t</w:t>
      </w:r>
      <w:r w:rsidRPr="00C329A3">
        <w:rPr>
          <w:rFonts w:asciiTheme="majorBidi" w:hAnsiTheme="majorBidi" w:cstheme="majorBidi"/>
          <w:sz w:val="24"/>
          <w:szCs w:val="24"/>
        </w:rPr>
        <w:t xml:space="preserve"> consists of gray, brown sandstone, brown claystone and siltstone of the same </w:t>
      </w:r>
      <w:r w:rsidRPr="009D5BE1">
        <w:rPr>
          <w:rFonts w:asciiTheme="majorBidi" w:hAnsiTheme="majorBidi" w:cstheme="majorBidi"/>
          <w:noProof/>
          <w:sz w:val="24"/>
          <w:szCs w:val="24"/>
        </w:rPr>
        <w:t>colo</w:t>
      </w:r>
      <w:r w:rsidR="000E0F12" w:rsidRPr="009D5BE1">
        <w:rPr>
          <w:rFonts w:asciiTheme="majorBidi" w:hAnsiTheme="majorBidi" w:cstheme="majorBidi"/>
          <w:noProof/>
          <w:sz w:val="24"/>
          <w:szCs w:val="24"/>
        </w:rPr>
        <w:t>u</w:t>
      </w:r>
      <w:r w:rsidRPr="009D5BE1">
        <w:rPr>
          <w:rFonts w:asciiTheme="majorBidi" w:hAnsiTheme="majorBidi" w:cstheme="majorBidi"/>
          <w:noProof/>
          <w:sz w:val="24"/>
          <w:szCs w:val="24"/>
        </w:rPr>
        <w:t>r</w:t>
      </w:r>
      <w:r w:rsidR="001E4EB9" w:rsidRPr="00C329A3">
        <w:rPr>
          <w:rFonts w:asciiTheme="majorBidi" w:hAnsiTheme="majorBidi" w:cstheme="majorBidi"/>
          <w:sz w:val="24"/>
          <w:szCs w:val="24"/>
        </w:rPr>
        <w:t xml:space="preserve"> (Sissakian, 1992)</w:t>
      </w:r>
      <w:r w:rsidRPr="00C329A3">
        <w:rPr>
          <w:rFonts w:asciiTheme="majorBidi" w:hAnsiTheme="majorBidi" w:cstheme="majorBidi"/>
          <w:sz w:val="24"/>
          <w:szCs w:val="24"/>
        </w:rPr>
        <w:t xml:space="preserve">. The thickness of this formation is 2000m in the center of depositional basin within Foothill zone </w:t>
      </w:r>
      <w:r w:rsidR="001E4EB9" w:rsidRPr="00C329A3">
        <w:rPr>
          <w:rFonts w:asciiTheme="majorBidi" w:hAnsiTheme="majorBidi" w:cstheme="majorBidi"/>
          <w:sz w:val="24"/>
          <w:szCs w:val="24"/>
        </w:rPr>
        <w:t>(Al-Naqib, 1960).</w:t>
      </w:r>
    </w:p>
    <w:p w:rsidR="008616D6" w:rsidRPr="00C329A3" w:rsidRDefault="008616D6"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 xml:space="preserve">Mukdadiya Formation: </w:t>
      </w:r>
      <w:r w:rsidR="009A3219" w:rsidRPr="00C329A3">
        <w:rPr>
          <w:rFonts w:asciiTheme="majorBidi" w:hAnsiTheme="majorBidi" w:cstheme="majorBidi"/>
          <w:sz w:val="24"/>
          <w:szCs w:val="24"/>
        </w:rPr>
        <w:t>(</w:t>
      </w:r>
      <w:r w:rsidRPr="008C6A5B">
        <w:rPr>
          <w:rFonts w:asciiTheme="majorBidi" w:hAnsiTheme="majorBidi" w:cstheme="majorBidi"/>
          <w:noProof/>
          <w:sz w:val="24"/>
          <w:szCs w:val="24"/>
        </w:rPr>
        <w:t>Uppermost</w:t>
      </w:r>
      <w:r w:rsidRPr="00C329A3">
        <w:rPr>
          <w:rFonts w:asciiTheme="majorBidi" w:hAnsiTheme="majorBidi" w:cstheme="majorBidi"/>
          <w:sz w:val="24"/>
          <w:szCs w:val="24"/>
        </w:rPr>
        <w:t xml:space="preserve"> Miocene-Pliocene</w:t>
      </w:r>
      <w:r w:rsidR="009A3219" w:rsidRPr="00C329A3">
        <w:rPr>
          <w:rFonts w:asciiTheme="majorBidi" w:hAnsiTheme="majorBidi" w:cstheme="majorBidi"/>
          <w:sz w:val="24"/>
          <w:szCs w:val="24"/>
        </w:rPr>
        <w:t>)</w:t>
      </w:r>
      <w:r w:rsidRPr="00C329A3">
        <w:rPr>
          <w:rFonts w:asciiTheme="majorBidi" w:hAnsiTheme="majorBidi" w:cstheme="majorBidi"/>
          <w:sz w:val="24"/>
          <w:szCs w:val="24"/>
        </w:rPr>
        <w:t xml:space="preserve">, </w:t>
      </w:r>
      <w:r w:rsidRPr="008C6A5B">
        <w:rPr>
          <w:rFonts w:asciiTheme="majorBidi" w:hAnsiTheme="majorBidi" w:cstheme="majorBidi"/>
          <w:noProof/>
          <w:sz w:val="24"/>
          <w:szCs w:val="24"/>
        </w:rPr>
        <w:t>it</w:t>
      </w:r>
      <w:r w:rsidRPr="00C329A3">
        <w:rPr>
          <w:rFonts w:asciiTheme="majorBidi" w:hAnsiTheme="majorBidi" w:cstheme="majorBidi"/>
          <w:sz w:val="24"/>
          <w:szCs w:val="24"/>
        </w:rPr>
        <w:t xml:space="preserve"> consists of brown claystone with gray coarse</w:t>
      </w:r>
      <w:r w:rsidR="000B397F">
        <w:rPr>
          <w:rFonts w:asciiTheme="majorBidi" w:hAnsiTheme="majorBidi" w:cstheme="majorBidi"/>
          <w:sz w:val="24"/>
          <w:szCs w:val="24"/>
        </w:rPr>
        <w:t>-</w:t>
      </w:r>
      <w:r w:rsidRPr="00C329A3">
        <w:rPr>
          <w:rFonts w:asciiTheme="majorBidi" w:hAnsiTheme="majorBidi" w:cstheme="majorBidi"/>
          <w:sz w:val="24"/>
          <w:szCs w:val="24"/>
        </w:rPr>
        <w:t>grained sandstone, brown and gray siltstone, and pebbly sandstone (Sissakian, 1992). Its thickness is more than 2500m in the center of the depositional basin within Foothill zone (Al-Naqib, 1960).</w:t>
      </w:r>
    </w:p>
    <w:p w:rsidR="008616D6" w:rsidRPr="00C329A3" w:rsidRDefault="008616D6"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Bai-Hassan Formation:</w:t>
      </w:r>
      <w:r w:rsidRPr="00C329A3">
        <w:rPr>
          <w:rFonts w:asciiTheme="majorBidi" w:hAnsiTheme="majorBidi" w:cstheme="majorBidi"/>
          <w:b/>
          <w:bCs/>
          <w:sz w:val="24"/>
          <w:szCs w:val="24"/>
        </w:rPr>
        <w:t xml:space="preserve"> </w:t>
      </w:r>
      <w:r w:rsidR="009A3219" w:rsidRPr="00C329A3">
        <w:rPr>
          <w:rFonts w:asciiTheme="majorBidi" w:hAnsiTheme="majorBidi" w:cstheme="majorBidi"/>
          <w:sz w:val="24"/>
          <w:szCs w:val="24"/>
        </w:rPr>
        <w:t>(</w:t>
      </w:r>
      <w:r w:rsidRPr="00C329A3">
        <w:rPr>
          <w:rFonts w:asciiTheme="majorBidi" w:hAnsiTheme="majorBidi" w:cstheme="majorBidi"/>
          <w:sz w:val="24"/>
          <w:szCs w:val="24"/>
        </w:rPr>
        <w:t>Pliocene</w:t>
      </w:r>
      <w:r w:rsidR="009A3219" w:rsidRPr="00C329A3">
        <w:rPr>
          <w:rFonts w:asciiTheme="majorBidi" w:hAnsiTheme="majorBidi" w:cstheme="majorBidi"/>
          <w:sz w:val="24"/>
          <w:szCs w:val="24"/>
        </w:rPr>
        <w:t>)</w:t>
      </w:r>
      <w:r w:rsidRPr="00C329A3">
        <w:rPr>
          <w:rFonts w:asciiTheme="majorBidi" w:hAnsiTheme="majorBidi" w:cstheme="majorBidi"/>
          <w:sz w:val="24"/>
          <w:szCs w:val="24"/>
        </w:rPr>
        <w:t xml:space="preserve">, </w:t>
      </w:r>
      <w:r w:rsidRPr="008C6A5B">
        <w:rPr>
          <w:rFonts w:asciiTheme="majorBidi" w:hAnsiTheme="majorBidi" w:cstheme="majorBidi"/>
          <w:noProof/>
          <w:sz w:val="24"/>
          <w:szCs w:val="24"/>
        </w:rPr>
        <w:t>it</w:t>
      </w:r>
      <w:r w:rsidRPr="00C329A3">
        <w:rPr>
          <w:rFonts w:asciiTheme="majorBidi" w:hAnsiTheme="majorBidi" w:cstheme="majorBidi"/>
          <w:sz w:val="24"/>
          <w:szCs w:val="24"/>
        </w:rPr>
        <w:t xml:space="preserve"> consists of thick and coarse conglomerates, thick brown claystone and thin sandstone (Sissakian, 1992). Its thickness is more than 2000m in the center of depositional basin within Foothill zone (Al-Naqib, 1960).</w:t>
      </w:r>
    </w:p>
    <w:p w:rsidR="00A02203" w:rsidRDefault="004F45D3"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Quaternary Deposition:</w:t>
      </w:r>
      <w:r w:rsidR="009A3219" w:rsidRPr="00C329A3">
        <w:rPr>
          <w:rFonts w:asciiTheme="majorBidi" w:hAnsiTheme="majorBidi" w:cstheme="majorBidi"/>
          <w:b/>
          <w:bCs/>
          <w:sz w:val="24"/>
          <w:szCs w:val="24"/>
        </w:rPr>
        <w:t xml:space="preserve"> </w:t>
      </w:r>
      <w:r w:rsidR="009A3219" w:rsidRPr="00C329A3">
        <w:rPr>
          <w:rFonts w:asciiTheme="majorBidi" w:hAnsiTheme="majorBidi" w:cstheme="majorBidi"/>
          <w:sz w:val="24"/>
          <w:szCs w:val="24"/>
        </w:rPr>
        <w:t>(Pliocene-Holocene), Six</w:t>
      </w:r>
      <w:r w:rsidRPr="00C329A3">
        <w:rPr>
          <w:rFonts w:asciiTheme="majorBidi" w:hAnsiTheme="majorBidi" w:cstheme="majorBidi"/>
          <w:sz w:val="24"/>
          <w:szCs w:val="24"/>
        </w:rPr>
        <w:t xml:space="preserve"> type</w:t>
      </w:r>
      <w:r w:rsidR="009A3219" w:rsidRPr="00C329A3">
        <w:rPr>
          <w:rFonts w:asciiTheme="majorBidi" w:hAnsiTheme="majorBidi" w:cstheme="majorBidi"/>
          <w:sz w:val="24"/>
          <w:szCs w:val="24"/>
        </w:rPr>
        <w:t>s</w:t>
      </w:r>
      <w:r w:rsidRPr="00C329A3">
        <w:rPr>
          <w:rFonts w:asciiTheme="majorBidi" w:hAnsiTheme="majorBidi" w:cstheme="majorBidi"/>
          <w:sz w:val="24"/>
          <w:szCs w:val="24"/>
        </w:rPr>
        <w:t xml:space="preserve"> of quaternary deposits a</w:t>
      </w:r>
      <w:r w:rsidR="009A3219" w:rsidRPr="00C329A3">
        <w:rPr>
          <w:rFonts w:asciiTheme="majorBidi" w:hAnsiTheme="majorBidi" w:cstheme="majorBidi"/>
          <w:sz w:val="24"/>
          <w:szCs w:val="24"/>
        </w:rPr>
        <w:t xml:space="preserve">re developed in the study area, </w:t>
      </w:r>
      <w:r w:rsidRPr="00C329A3">
        <w:rPr>
          <w:rFonts w:asciiTheme="majorBidi" w:hAnsiTheme="majorBidi" w:cstheme="majorBidi"/>
          <w:sz w:val="24"/>
          <w:szCs w:val="24"/>
        </w:rPr>
        <w:t xml:space="preserve">are River terraces, Polygenetic deposits, Slope deposits, Residual gravels, </w:t>
      </w:r>
      <w:r w:rsidRPr="008C6A5B">
        <w:rPr>
          <w:rFonts w:asciiTheme="majorBidi" w:hAnsiTheme="majorBidi" w:cstheme="majorBidi"/>
          <w:noProof/>
          <w:sz w:val="24"/>
          <w:szCs w:val="24"/>
        </w:rPr>
        <w:t>Floodplain</w:t>
      </w:r>
      <w:r w:rsidRPr="00C329A3">
        <w:rPr>
          <w:rFonts w:asciiTheme="majorBidi" w:hAnsiTheme="majorBidi" w:cstheme="majorBidi"/>
          <w:sz w:val="24"/>
          <w:szCs w:val="24"/>
        </w:rPr>
        <w:t xml:space="preserve">, and </w:t>
      </w:r>
      <w:r w:rsidRPr="008C6A5B">
        <w:rPr>
          <w:rFonts w:asciiTheme="majorBidi" w:hAnsiTheme="majorBidi" w:cstheme="majorBidi"/>
          <w:noProof/>
          <w:sz w:val="24"/>
          <w:szCs w:val="24"/>
        </w:rPr>
        <w:t>Valley</w:t>
      </w:r>
      <w:r w:rsidR="008C6A5B">
        <w:rPr>
          <w:rFonts w:asciiTheme="majorBidi" w:hAnsiTheme="majorBidi" w:cstheme="majorBidi"/>
          <w:noProof/>
          <w:sz w:val="24"/>
          <w:szCs w:val="24"/>
        </w:rPr>
        <w:t>-</w:t>
      </w:r>
      <w:r w:rsidRPr="008C6A5B">
        <w:rPr>
          <w:rFonts w:asciiTheme="majorBidi" w:hAnsiTheme="majorBidi" w:cstheme="majorBidi"/>
          <w:noProof/>
          <w:sz w:val="24"/>
          <w:szCs w:val="24"/>
        </w:rPr>
        <w:t>fill</w:t>
      </w:r>
      <w:r w:rsidRPr="00C329A3">
        <w:rPr>
          <w:rFonts w:asciiTheme="majorBidi" w:hAnsiTheme="majorBidi" w:cstheme="majorBidi"/>
          <w:sz w:val="24"/>
          <w:szCs w:val="24"/>
        </w:rPr>
        <w:t xml:space="preserve"> deposits (Sissakian, 1992).</w:t>
      </w:r>
    </w:p>
    <w:p w:rsidR="00840014" w:rsidRPr="00C329A3" w:rsidRDefault="00840014" w:rsidP="00C329A3">
      <w:pPr>
        <w:spacing w:line="240" w:lineRule="auto"/>
        <w:jc w:val="both"/>
        <w:rPr>
          <w:rFonts w:asciiTheme="majorBidi" w:hAnsiTheme="majorBidi" w:cstheme="majorBidi"/>
          <w:sz w:val="24"/>
          <w:szCs w:val="24"/>
        </w:rPr>
      </w:pPr>
    </w:p>
    <w:p w:rsidR="004F45D3" w:rsidRPr="00C329A3" w:rsidRDefault="00AA0D49" w:rsidP="00C329A3">
      <w:pPr>
        <w:spacing w:line="240" w:lineRule="auto"/>
        <w:jc w:val="both"/>
        <w:rPr>
          <w:rFonts w:asciiTheme="majorBidi" w:hAnsiTheme="majorBidi" w:cstheme="majorBidi"/>
          <w:b/>
          <w:bCs/>
          <w:sz w:val="24"/>
          <w:szCs w:val="24"/>
        </w:rPr>
      </w:pPr>
      <w:r w:rsidRPr="00C329A3">
        <w:rPr>
          <w:rFonts w:asciiTheme="majorBidi" w:hAnsiTheme="majorBidi" w:cstheme="majorBidi"/>
          <w:b/>
          <w:bCs/>
          <w:i/>
          <w:iCs/>
          <w:sz w:val="24"/>
          <w:szCs w:val="24"/>
        </w:rPr>
        <w:t>2.2 Soil of the Study Area:</w:t>
      </w:r>
    </w:p>
    <w:p w:rsidR="00AA0D49" w:rsidRPr="00C329A3" w:rsidRDefault="00AA0D49" w:rsidP="00C329A3">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     The study area represents deep valley contain ephemeral stream coming down from the high areas. The soil of the study area formed as a result of intensive erosion processes of rock formations that are exposed at the surface mainly </w:t>
      </w:r>
      <w:r w:rsidR="004C77C0" w:rsidRPr="00C329A3">
        <w:rPr>
          <w:rFonts w:asciiTheme="majorBidi" w:hAnsiTheme="majorBidi" w:cstheme="majorBidi"/>
          <w:sz w:val="24"/>
          <w:szCs w:val="24"/>
        </w:rPr>
        <w:t>Bai-Hassan and Mukdadiya Formations. Two soil types were recognized in the area are</w:t>
      </w:r>
      <w:r w:rsidR="00902870" w:rsidRPr="00C329A3">
        <w:rPr>
          <w:rFonts w:asciiTheme="majorBidi" w:hAnsiTheme="majorBidi" w:cstheme="majorBidi"/>
          <w:sz w:val="24"/>
          <w:szCs w:val="24"/>
        </w:rPr>
        <w:t xml:space="preserve"> (Buringh, 1960)</w:t>
      </w:r>
      <w:r w:rsidR="004C77C0" w:rsidRPr="00C329A3">
        <w:rPr>
          <w:rFonts w:asciiTheme="majorBidi" w:hAnsiTheme="majorBidi" w:cstheme="majorBidi"/>
          <w:sz w:val="24"/>
          <w:szCs w:val="24"/>
        </w:rPr>
        <w:t>:</w:t>
      </w:r>
    </w:p>
    <w:p w:rsidR="004C77C0" w:rsidRPr="00C329A3" w:rsidRDefault="004C77C0"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Reddish</w:t>
      </w:r>
      <w:r w:rsidR="00D7738F" w:rsidRPr="00F314E8">
        <w:rPr>
          <w:rFonts w:asciiTheme="majorBidi" w:hAnsiTheme="majorBidi" w:cstheme="majorBidi"/>
          <w:b/>
          <w:bCs/>
          <w:i/>
          <w:iCs/>
          <w:sz w:val="24"/>
          <w:szCs w:val="24"/>
        </w:rPr>
        <w:t>-Brown Soil</w:t>
      </w:r>
      <w:r w:rsidRPr="00F314E8">
        <w:rPr>
          <w:rFonts w:asciiTheme="majorBidi" w:hAnsiTheme="majorBidi" w:cstheme="majorBidi"/>
          <w:b/>
          <w:bCs/>
          <w:i/>
          <w:iCs/>
          <w:sz w:val="24"/>
          <w:szCs w:val="24"/>
        </w:rPr>
        <w:t>:</w:t>
      </w:r>
      <w:r w:rsidRPr="00C329A3">
        <w:rPr>
          <w:rFonts w:asciiTheme="majorBidi" w:hAnsiTheme="majorBidi" w:cstheme="majorBidi"/>
          <w:b/>
          <w:bCs/>
          <w:sz w:val="24"/>
          <w:szCs w:val="24"/>
        </w:rPr>
        <w:t xml:space="preserve"> </w:t>
      </w:r>
      <w:r w:rsidRPr="00C329A3">
        <w:rPr>
          <w:rFonts w:asciiTheme="majorBidi" w:hAnsiTheme="majorBidi" w:cstheme="majorBidi"/>
          <w:sz w:val="24"/>
          <w:szCs w:val="24"/>
        </w:rPr>
        <w:t>This type of soil represent</w:t>
      </w:r>
      <w:r w:rsidR="00050D7F" w:rsidRPr="00C329A3">
        <w:rPr>
          <w:rFonts w:asciiTheme="majorBidi" w:hAnsiTheme="majorBidi" w:cstheme="majorBidi"/>
          <w:sz w:val="24"/>
          <w:szCs w:val="24"/>
        </w:rPr>
        <w:t>s</w:t>
      </w:r>
      <w:r w:rsidRPr="00C329A3">
        <w:rPr>
          <w:rFonts w:asciiTheme="majorBidi" w:hAnsiTheme="majorBidi" w:cstheme="majorBidi"/>
          <w:sz w:val="24"/>
          <w:szCs w:val="24"/>
        </w:rPr>
        <w:t xml:space="preserve"> the hill slopes soils, which is characterized by reddish-brown surface soil which at little depth turns up from brown colour into red colour, lime accumulation begins at depth 15 cm, also its soft soil easily eroded, the biological activity and chemical weathering are rather low, and its highly permeable soil causing infiltration of water into subsurface. </w:t>
      </w:r>
    </w:p>
    <w:p w:rsidR="004C77C0" w:rsidRDefault="004C77C0" w:rsidP="00C329A3">
      <w:pPr>
        <w:spacing w:line="240" w:lineRule="auto"/>
        <w:jc w:val="both"/>
        <w:rPr>
          <w:rFonts w:asciiTheme="majorBidi" w:hAnsiTheme="majorBidi" w:cstheme="majorBidi"/>
          <w:sz w:val="24"/>
          <w:szCs w:val="24"/>
        </w:rPr>
      </w:pPr>
      <w:r w:rsidRPr="00F314E8">
        <w:rPr>
          <w:rFonts w:asciiTheme="majorBidi" w:hAnsiTheme="majorBidi" w:cstheme="majorBidi"/>
          <w:b/>
          <w:bCs/>
          <w:i/>
          <w:iCs/>
          <w:sz w:val="24"/>
          <w:szCs w:val="24"/>
        </w:rPr>
        <w:t>Brown Soil:</w:t>
      </w:r>
      <w:r w:rsidRPr="00C329A3">
        <w:rPr>
          <w:rFonts w:asciiTheme="majorBidi" w:hAnsiTheme="majorBidi" w:cstheme="majorBidi"/>
          <w:sz w:val="24"/>
          <w:szCs w:val="24"/>
        </w:rPr>
        <w:t xml:space="preserve"> </w:t>
      </w:r>
      <w:r w:rsidR="00D7738F" w:rsidRPr="00C329A3">
        <w:rPr>
          <w:rFonts w:asciiTheme="majorBidi" w:hAnsiTheme="majorBidi" w:cstheme="majorBidi"/>
          <w:sz w:val="24"/>
          <w:szCs w:val="24"/>
        </w:rPr>
        <w:t>This</w:t>
      </w:r>
      <w:r w:rsidRPr="00C329A3">
        <w:rPr>
          <w:rFonts w:asciiTheme="majorBidi" w:hAnsiTheme="majorBidi" w:cstheme="majorBidi"/>
          <w:sz w:val="24"/>
          <w:szCs w:val="24"/>
        </w:rPr>
        <w:t xml:space="preserve"> </w:t>
      </w:r>
      <w:r w:rsidR="00D7738F" w:rsidRPr="00C329A3">
        <w:rPr>
          <w:rFonts w:asciiTheme="majorBidi" w:hAnsiTheme="majorBidi" w:cstheme="majorBidi"/>
          <w:sz w:val="24"/>
          <w:szCs w:val="24"/>
        </w:rPr>
        <w:t>soil has a brown surface layer of about (25-30) cm, grading into a brownish-gray to</w:t>
      </w:r>
      <w:r w:rsidR="000E0F12">
        <w:rPr>
          <w:rFonts w:asciiTheme="majorBidi" w:hAnsiTheme="majorBidi" w:cstheme="majorBidi"/>
          <w:sz w:val="24"/>
          <w:szCs w:val="24"/>
        </w:rPr>
        <w:t xml:space="preserve"> the</w:t>
      </w:r>
      <w:r w:rsidR="00D7738F" w:rsidRPr="00C329A3">
        <w:rPr>
          <w:rFonts w:asciiTheme="majorBidi" w:hAnsiTheme="majorBidi" w:cstheme="majorBidi"/>
          <w:sz w:val="24"/>
          <w:szCs w:val="24"/>
        </w:rPr>
        <w:t xml:space="preserve"> </w:t>
      </w:r>
      <w:r w:rsidR="00D7738F" w:rsidRPr="000E0F12">
        <w:rPr>
          <w:rFonts w:asciiTheme="majorBidi" w:hAnsiTheme="majorBidi" w:cstheme="majorBidi"/>
          <w:noProof/>
          <w:sz w:val="24"/>
          <w:szCs w:val="24"/>
        </w:rPr>
        <w:t>whitish</w:t>
      </w:r>
      <w:r w:rsidR="00D7738F" w:rsidRPr="00C329A3">
        <w:rPr>
          <w:rFonts w:asciiTheme="majorBidi" w:hAnsiTheme="majorBidi" w:cstheme="majorBidi"/>
          <w:sz w:val="24"/>
          <w:szCs w:val="24"/>
        </w:rPr>
        <w:t xml:space="preserve"> horizon of lime accumulation, which consists of silt loam mixed with some gravels, grading into brown silt loam at 14 cm, with lime accumulation beginning at a depth of 30 cm. The topsoil is alkaline and may have (1 or 2) % of organic matter. The process of chemical weathering becomes more important in this type of soil.</w:t>
      </w:r>
    </w:p>
    <w:p w:rsidR="00840014" w:rsidRPr="00C329A3" w:rsidRDefault="00840014" w:rsidP="00C329A3">
      <w:pPr>
        <w:spacing w:line="240" w:lineRule="auto"/>
        <w:jc w:val="both"/>
        <w:rPr>
          <w:rFonts w:asciiTheme="majorBidi" w:hAnsiTheme="majorBidi" w:cstheme="majorBidi"/>
          <w:sz w:val="24"/>
          <w:szCs w:val="24"/>
        </w:rPr>
      </w:pPr>
    </w:p>
    <w:p w:rsidR="001459BA" w:rsidRDefault="001459BA" w:rsidP="001459BA">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4352925" cy="30709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tif"/>
                    <pic:cNvPicPr/>
                  </pic:nvPicPr>
                  <pic:blipFill rotWithShape="1">
                    <a:blip r:embed="rId11" cstate="print">
                      <a:extLst>
                        <a:ext uri="{28A0092B-C50C-407E-A947-70E740481C1C}">
                          <a14:useLocalDpi xmlns:a14="http://schemas.microsoft.com/office/drawing/2010/main" val="0"/>
                        </a:ext>
                      </a:extLst>
                    </a:blip>
                    <a:srcRect l="1456" t="1830" r="1295" b="1205"/>
                    <a:stretch/>
                  </pic:blipFill>
                  <pic:spPr bwMode="auto">
                    <a:xfrm>
                      <a:off x="0" y="0"/>
                      <a:ext cx="4365587" cy="3079882"/>
                    </a:xfrm>
                    <a:prstGeom prst="rect">
                      <a:avLst/>
                    </a:prstGeom>
                    <a:ln>
                      <a:noFill/>
                    </a:ln>
                    <a:extLst>
                      <a:ext uri="{53640926-AAD7-44D8-BBD7-CCE9431645EC}">
                        <a14:shadowObscured xmlns:a14="http://schemas.microsoft.com/office/drawing/2010/main"/>
                      </a:ext>
                    </a:extLst>
                  </pic:spPr>
                </pic:pic>
              </a:graphicData>
            </a:graphic>
          </wp:inline>
        </w:drawing>
      </w:r>
    </w:p>
    <w:p w:rsidR="00313E7F" w:rsidRDefault="001459BA" w:rsidP="0096791C">
      <w:pPr>
        <w:spacing w:line="360" w:lineRule="auto"/>
        <w:rPr>
          <w:rFonts w:asciiTheme="majorBidi" w:hAnsiTheme="majorBidi" w:cstheme="majorBidi"/>
          <w:sz w:val="22"/>
          <w:szCs w:val="22"/>
        </w:rPr>
      </w:pPr>
      <w:r w:rsidRPr="00F314E8">
        <w:rPr>
          <w:rFonts w:asciiTheme="majorBidi" w:hAnsiTheme="majorBidi" w:cstheme="majorBidi"/>
          <w:b/>
          <w:bCs/>
          <w:sz w:val="22"/>
          <w:szCs w:val="22"/>
        </w:rPr>
        <w:t xml:space="preserve">    </w:t>
      </w:r>
      <w:r w:rsidR="00F314E8">
        <w:rPr>
          <w:rFonts w:asciiTheme="majorBidi" w:hAnsiTheme="majorBidi" w:cstheme="majorBidi"/>
          <w:b/>
          <w:bCs/>
          <w:sz w:val="22"/>
          <w:szCs w:val="22"/>
        </w:rPr>
        <w:t xml:space="preserve">   </w:t>
      </w:r>
      <w:r w:rsidR="004B65AB">
        <w:rPr>
          <w:rFonts w:asciiTheme="majorBidi" w:hAnsiTheme="majorBidi" w:cstheme="majorBidi"/>
          <w:b/>
          <w:bCs/>
          <w:sz w:val="22"/>
          <w:szCs w:val="22"/>
        </w:rPr>
        <w:t xml:space="preserve">               </w:t>
      </w:r>
      <w:r w:rsidR="00F314E8">
        <w:rPr>
          <w:rFonts w:asciiTheme="majorBidi" w:hAnsiTheme="majorBidi" w:cstheme="majorBidi"/>
          <w:b/>
          <w:bCs/>
          <w:sz w:val="22"/>
          <w:szCs w:val="22"/>
        </w:rPr>
        <w:t xml:space="preserve">  </w:t>
      </w:r>
      <w:r w:rsidRPr="00F314E8">
        <w:rPr>
          <w:rFonts w:asciiTheme="majorBidi" w:hAnsiTheme="majorBidi" w:cstheme="majorBidi"/>
          <w:b/>
          <w:bCs/>
          <w:sz w:val="22"/>
          <w:szCs w:val="22"/>
        </w:rPr>
        <w:t xml:space="preserve">Figure 2. </w:t>
      </w:r>
      <w:r w:rsidRPr="00F314E8">
        <w:rPr>
          <w:rFonts w:asciiTheme="majorBidi" w:hAnsiTheme="majorBidi" w:cstheme="majorBidi"/>
          <w:sz w:val="22"/>
          <w:szCs w:val="22"/>
        </w:rPr>
        <w:t>Geological Map of the Study Area.</w:t>
      </w:r>
    </w:p>
    <w:p w:rsidR="008C6A5B" w:rsidRDefault="008C6A5B" w:rsidP="0096791C">
      <w:pPr>
        <w:spacing w:line="360" w:lineRule="auto"/>
        <w:rPr>
          <w:rFonts w:asciiTheme="majorBidi" w:hAnsiTheme="majorBidi" w:cstheme="majorBidi"/>
          <w:sz w:val="22"/>
          <w:szCs w:val="22"/>
        </w:rPr>
      </w:pPr>
    </w:p>
    <w:p w:rsidR="008C6A5B" w:rsidRDefault="008C6A5B" w:rsidP="0096791C">
      <w:pPr>
        <w:spacing w:line="360" w:lineRule="auto"/>
        <w:rPr>
          <w:rFonts w:asciiTheme="majorBidi" w:hAnsiTheme="majorBidi" w:cstheme="majorBidi"/>
          <w:sz w:val="22"/>
          <w:szCs w:val="22"/>
        </w:rPr>
      </w:pPr>
    </w:p>
    <w:p w:rsidR="00E76700" w:rsidRPr="00C856FA" w:rsidRDefault="00E76700" w:rsidP="00C329A3">
      <w:pPr>
        <w:spacing w:line="240" w:lineRule="auto"/>
        <w:rPr>
          <w:rFonts w:asciiTheme="majorBidi" w:hAnsiTheme="majorBidi" w:cstheme="majorBidi"/>
          <w:b/>
          <w:bCs/>
          <w:i/>
          <w:iCs/>
          <w:sz w:val="24"/>
          <w:szCs w:val="24"/>
        </w:rPr>
      </w:pPr>
      <w:r w:rsidRPr="00C856FA">
        <w:rPr>
          <w:rFonts w:asciiTheme="majorBidi" w:hAnsiTheme="majorBidi" w:cstheme="majorBidi"/>
          <w:b/>
          <w:bCs/>
          <w:i/>
          <w:iCs/>
          <w:sz w:val="24"/>
          <w:szCs w:val="24"/>
        </w:rPr>
        <w:t>3. Materials and Methods:</w:t>
      </w:r>
    </w:p>
    <w:p w:rsidR="007A4B8E" w:rsidRPr="00C329A3" w:rsidRDefault="00DD7400" w:rsidP="00C329A3">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3.1 Sampling and Analysis:</w:t>
      </w:r>
    </w:p>
    <w:p w:rsidR="00A135FF" w:rsidRPr="00C329A3" w:rsidRDefault="005C56D9" w:rsidP="0065561D">
      <w:pPr>
        <w:spacing w:line="240" w:lineRule="auto"/>
        <w:jc w:val="both"/>
        <w:rPr>
          <w:rFonts w:asciiTheme="majorBidi" w:hAnsiTheme="majorBidi" w:cstheme="majorBidi"/>
          <w:sz w:val="24"/>
          <w:szCs w:val="24"/>
        </w:rPr>
      </w:pPr>
      <w:r w:rsidRPr="00C329A3">
        <w:rPr>
          <w:rFonts w:asciiTheme="majorBidi" w:hAnsiTheme="majorBidi" w:cstheme="majorBidi"/>
          <w:b/>
          <w:bCs/>
          <w:i/>
          <w:iCs/>
          <w:sz w:val="24"/>
          <w:szCs w:val="24"/>
        </w:rPr>
        <w:t>3.1.1 Collection of Samples:</w:t>
      </w:r>
      <w:r w:rsidRPr="00C329A3">
        <w:rPr>
          <w:rFonts w:asciiTheme="majorBidi" w:hAnsiTheme="majorBidi" w:cstheme="majorBidi"/>
          <w:sz w:val="24"/>
          <w:szCs w:val="24"/>
        </w:rPr>
        <w:t xml:space="preserve"> Soil samples were collected from </w:t>
      </w:r>
      <w:r w:rsidR="00D87B4C" w:rsidRPr="00C329A3">
        <w:rPr>
          <w:rFonts w:asciiTheme="majorBidi" w:hAnsiTheme="majorBidi" w:cstheme="majorBidi"/>
          <w:sz w:val="24"/>
          <w:szCs w:val="24"/>
        </w:rPr>
        <w:t>eight</w:t>
      </w:r>
      <w:r w:rsidRPr="00C329A3">
        <w:rPr>
          <w:rFonts w:asciiTheme="majorBidi" w:hAnsiTheme="majorBidi" w:cstheme="majorBidi"/>
          <w:sz w:val="24"/>
          <w:szCs w:val="24"/>
        </w:rPr>
        <w:t xml:space="preserve"> sites </w:t>
      </w:r>
      <w:bookmarkStart w:id="5" w:name="_Hlk480152812"/>
      <w:r w:rsidRPr="00C329A3">
        <w:rPr>
          <w:rFonts w:asciiTheme="majorBidi" w:hAnsiTheme="majorBidi" w:cstheme="majorBidi"/>
          <w:sz w:val="24"/>
          <w:szCs w:val="24"/>
        </w:rPr>
        <w:t>within</w:t>
      </w:r>
      <w:r w:rsidR="000E0F12">
        <w:rPr>
          <w:rFonts w:asciiTheme="majorBidi" w:hAnsiTheme="majorBidi" w:cstheme="majorBidi"/>
          <w:sz w:val="24"/>
          <w:szCs w:val="24"/>
        </w:rPr>
        <w:t xml:space="preserve"> the</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study</w:t>
      </w:r>
      <w:r w:rsidRPr="00C329A3">
        <w:rPr>
          <w:rFonts w:asciiTheme="majorBidi" w:hAnsiTheme="majorBidi" w:cstheme="majorBidi"/>
          <w:sz w:val="24"/>
          <w:szCs w:val="24"/>
        </w:rPr>
        <w:t xml:space="preserve"> area </w:t>
      </w:r>
      <w:bookmarkEnd w:id="5"/>
      <w:r w:rsidR="001D3183" w:rsidRPr="00C329A3">
        <w:rPr>
          <w:rFonts w:asciiTheme="majorBidi" w:hAnsiTheme="majorBidi" w:cstheme="majorBidi"/>
          <w:sz w:val="24"/>
          <w:szCs w:val="24"/>
        </w:rPr>
        <w:t>as shown in (Figure 1) at</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Oct</w:t>
      </w:r>
      <w:r w:rsidRPr="00C329A3">
        <w:rPr>
          <w:rFonts w:asciiTheme="majorBidi" w:hAnsiTheme="majorBidi" w:cstheme="majorBidi"/>
          <w:sz w:val="24"/>
          <w:szCs w:val="24"/>
        </w:rPr>
        <w:t xml:space="preserve"> 2016. Before</w:t>
      </w:r>
      <w:r w:rsidR="000E0F12">
        <w:rPr>
          <w:rFonts w:asciiTheme="majorBidi" w:hAnsiTheme="majorBidi" w:cstheme="majorBidi"/>
          <w:sz w:val="24"/>
          <w:szCs w:val="24"/>
        </w:rPr>
        <w:t xml:space="preserve"> the</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sampling</w:t>
      </w:r>
      <w:r w:rsidRPr="00C329A3">
        <w:rPr>
          <w:rFonts w:asciiTheme="majorBidi" w:hAnsiTheme="majorBidi" w:cstheme="majorBidi"/>
          <w:sz w:val="24"/>
          <w:szCs w:val="24"/>
        </w:rPr>
        <w:t xml:space="preserve"> (</w:t>
      </w:r>
      <w:r w:rsidRPr="008C6A5B">
        <w:rPr>
          <w:rFonts w:asciiTheme="majorBidi" w:hAnsiTheme="majorBidi" w:cstheme="majorBidi"/>
          <w:noProof/>
          <w:sz w:val="24"/>
          <w:szCs w:val="24"/>
        </w:rPr>
        <w:t>Fieldwork</w:t>
      </w:r>
      <w:r w:rsidRPr="00C329A3">
        <w:rPr>
          <w:rFonts w:asciiTheme="majorBidi" w:hAnsiTheme="majorBidi" w:cstheme="majorBidi"/>
          <w:sz w:val="24"/>
          <w:szCs w:val="24"/>
        </w:rPr>
        <w:t>) start, the stratified random sampling method was selected, where the study area is divided into</w:t>
      </w:r>
      <w:r w:rsidR="000E0F12">
        <w:rPr>
          <w:rFonts w:asciiTheme="majorBidi" w:hAnsiTheme="majorBidi" w:cstheme="majorBidi"/>
          <w:sz w:val="24"/>
          <w:szCs w:val="24"/>
        </w:rPr>
        <w:t xml:space="preserve"> a</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grid</w:t>
      </w:r>
      <w:r w:rsidRPr="00C329A3">
        <w:rPr>
          <w:rFonts w:asciiTheme="majorBidi" w:hAnsiTheme="majorBidi" w:cstheme="majorBidi"/>
          <w:sz w:val="24"/>
          <w:szCs w:val="24"/>
        </w:rPr>
        <w:t xml:space="preserve"> of </w:t>
      </w:r>
      <w:r w:rsidR="0065561D" w:rsidRPr="0065561D">
        <w:rPr>
          <w:rFonts w:asciiTheme="majorBidi" w:hAnsiTheme="majorBidi" w:cstheme="majorBidi"/>
          <w:sz w:val="24"/>
          <w:szCs w:val="24"/>
        </w:rPr>
        <w:t xml:space="preserve">egalitarian </w:t>
      </w:r>
      <w:r w:rsidRPr="00C329A3">
        <w:rPr>
          <w:rFonts w:asciiTheme="majorBidi" w:hAnsiTheme="majorBidi" w:cstheme="majorBidi"/>
          <w:sz w:val="24"/>
          <w:szCs w:val="24"/>
        </w:rPr>
        <w:t>squares and soil samples were taken randomly from each square from (0-20) cm depth, the samples were placed in clean and new polythene bags. The large empty are</w:t>
      </w:r>
      <w:r w:rsidR="00192BA1" w:rsidRPr="00C329A3">
        <w:rPr>
          <w:rFonts w:asciiTheme="majorBidi" w:hAnsiTheme="majorBidi" w:cstheme="majorBidi"/>
          <w:sz w:val="24"/>
          <w:szCs w:val="24"/>
        </w:rPr>
        <w:t>a in the sampling map represent the</w:t>
      </w:r>
      <w:r w:rsidRPr="00C329A3">
        <w:rPr>
          <w:rFonts w:asciiTheme="majorBidi" w:hAnsiTheme="majorBidi" w:cstheme="majorBidi"/>
          <w:sz w:val="24"/>
          <w:szCs w:val="24"/>
        </w:rPr>
        <w:t xml:space="preserve"> geological </w:t>
      </w:r>
      <w:r w:rsidR="001D3183" w:rsidRPr="00C329A3">
        <w:rPr>
          <w:rFonts w:asciiTheme="majorBidi" w:hAnsiTheme="majorBidi" w:cstheme="majorBidi"/>
          <w:sz w:val="24"/>
          <w:szCs w:val="24"/>
        </w:rPr>
        <w:t>outcrops</w:t>
      </w:r>
      <w:r w:rsidR="00A135FF" w:rsidRPr="00C329A3">
        <w:rPr>
          <w:rFonts w:asciiTheme="majorBidi" w:hAnsiTheme="majorBidi" w:cstheme="majorBidi"/>
          <w:sz w:val="24"/>
          <w:szCs w:val="24"/>
        </w:rPr>
        <w:t>.</w:t>
      </w:r>
    </w:p>
    <w:p w:rsidR="00A134DE" w:rsidRPr="00C329A3" w:rsidRDefault="00A135FF" w:rsidP="00C329A3">
      <w:pPr>
        <w:spacing w:line="240" w:lineRule="auto"/>
        <w:jc w:val="both"/>
        <w:rPr>
          <w:rFonts w:asciiTheme="majorBidi" w:hAnsiTheme="majorBidi" w:cstheme="majorBidi"/>
          <w:sz w:val="24"/>
          <w:szCs w:val="24"/>
        </w:rPr>
      </w:pPr>
      <w:r w:rsidRPr="00C329A3">
        <w:rPr>
          <w:rFonts w:asciiTheme="majorBidi" w:hAnsiTheme="majorBidi" w:cstheme="majorBidi"/>
          <w:b/>
          <w:bCs/>
          <w:i/>
          <w:iCs/>
          <w:sz w:val="24"/>
          <w:szCs w:val="24"/>
        </w:rPr>
        <w:t>3.1.2</w:t>
      </w:r>
      <w:r w:rsidRPr="00C329A3">
        <w:rPr>
          <w:rFonts w:asciiTheme="majorBidi" w:hAnsiTheme="majorBidi" w:cstheme="majorBidi"/>
          <w:b/>
          <w:bCs/>
          <w:sz w:val="24"/>
          <w:szCs w:val="24"/>
        </w:rPr>
        <w:t xml:space="preserve"> </w:t>
      </w:r>
      <w:r w:rsidRPr="00C329A3">
        <w:rPr>
          <w:rFonts w:asciiTheme="majorBidi" w:hAnsiTheme="majorBidi" w:cstheme="majorBidi"/>
          <w:b/>
          <w:bCs/>
          <w:i/>
          <w:iCs/>
          <w:sz w:val="24"/>
          <w:szCs w:val="24"/>
        </w:rPr>
        <w:t>Preparation of Samples:</w:t>
      </w:r>
      <w:r w:rsidR="005C56D9" w:rsidRPr="00C329A3">
        <w:rPr>
          <w:rFonts w:asciiTheme="majorBidi" w:hAnsiTheme="majorBidi" w:cstheme="majorBidi"/>
          <w:sz w:val="24"/>
          <w:szCs w:val="24"/>
        </w:rPr>
        <w:t xml:space="preserve"> </w:t>
      </w:r>
      <w:r w:rsidRPr="00C329A3">
        <w:rPr>
          <w:rFonts w:asciiTheme="majorBidi" w:hAnsiTheme="majorBidi" w:cstheme="majorBidi"/>
          <w:sz w:val="24"/>
          <w:szCs w:val="24"/>
        </w:rPr>
        <w:t>Soil samples were air-dried at room t</w:t>
      </w:r>
      <w:r w:rsidR="001D3183" w:rsidRPr="00C329A3">
        <w:rPr>
          <w:rFonts w:asciiTheme="majorBidi" w:hAnsiTheme="majorBidi" w:cstheme="majorBidi"/>
          <w:sz w:val="24"/>
          <w:szCs w:val="24"/>
        </w:rPr>
        <w:t>emperature and sieved</w:t>
      </w:r>
      <w:r w:rsidRPr="00C329A3">
        <w:rPr>
          <w:rFonts w:asciiTheme="majorBidi" w:hAnsiTheme="majorBidi" w:cstheme="majorBidi"/>
          <w:sz w:val="24"/>
          <w:szCs w:val="24"/>
        </w:rPr>
        <w:t xml:space="preserve"> </w:t>
      </w:r>
      <w:r w:rsidR="001D3183" w:rsidRPr="00C329A3">
        <w:rPr>
          <w:rFonts w:asciiTheme="majorBidi" w:hAnsiTheme="majorBidi" w:cstheme="majorBidi"/>
          <w:sz w:val="24"/>
          <w:szCs w:val="24"/>
        </w:rPr>
        <w:t>by</w:t>
      </w:r>
      <w:r w:rsidRPr="00C329A3">
        <w:rPr>
          <w:rFonts w:asciiTheme="majorBidi" w:hAnsiTheme="majorBidi" w:cstheme="majorBidi"/>
          <w:sz w:val="24"/>
          <w:szCs w:val="24"/>
        </w:rPr>
        <w:t xml:space="preserve"> </w:t>
      </w:r>
      <w:r w:rsidR="004362BF" w:rsidRPr="00C329A3">
        <w:rPr>
          <w:rFonts w:asciiTheme="majorBidi" w:hAnsiTheme="majorBidi" w:cstheme="majorBidi"/>
          <w:sz w:val="24"/>
          <w:szCs w:val="24"/>
        </w:rPr>
        <w:t>(</w:t>
      </w:r>
      <w:r w:rsidRPr="00C329A3">
        <w:rPr>
          <w:rFonts w:asciiTheme="majorBidi" w:hAnsiTheme="majorBidi" w:cstheme="majorBidi"/>
          <w:sz w:val="24"/>
          <w:szCs w:val="24"/>
        </w:rPr>
        <w:t>200 mesh</w:t>
      </w:r>
      <w:r w:rsidR="004362BF" w:rsidRPr="00C329A3">
        <w:rPr>
          <w:rFonts w:asciiTheme="majorBidi" w:hAnsiTheme="majorBidi" w:cstheme="majorBidi"/>
          <w:sz w:val="24"/>
          <w:szCs w:val="24"/>
        </w:rPr>
        <w:t>)</w:t>
      </w:r>
      <w:r w:rsidR="001D3183" w:rsidRPr="00C329A3">
        <w:rPr>
          <w:rFonts w:asciiTheme="majorBidi" w:hAnsiTheme="majorBidi" w:cstheme="majorBidi"/>
          <w:sz w:val="24"/>
          <w:szCs w:val="24"/>
        </w:rPr>
        <w:t xml:space="preserve"> sieve</w:t>
      </w:r>
      <w:r w:rsidRPr="00C329A3">
        <w:rPr>
          <w:rFonts w:asciiTheme="majorBidi" w:hAnsiTheme="majorBidi" w:cstheme="majorBidi"/>
          <w:sz w:val="24"/>
          <w:szCs w:val="24"/>
        </w:rPr>
        <w:t xml:space="preserve"> in </w:t>
      </w:r>
      <w:r w:rsidR="00964F54" w:rsidRPr="00C329A3">
        <w:rPr>
          <w:rFonts w:asciiTheme="majorBidi" w:hAnsiTheme="majorBidi" w:cstheme="majorBidi"/>
          <w:sz w:val="24"/>
          <w:szCs w:val="24"/>
        </w:rPr>
        <w:t>order to separate and remove all</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co</w:t>
      </w:r>
      <w:r w:rsidR="000E0F12">
        <w:rPr>
          <w:rFonts w:asciiTheme="majorBidi" w:hAnsiTheme="majorBidi" w:cstheme="majorBidi"/>
          <w:noProof/>
          <w:sz w:val="24"/>
          <w:szCs w:val="24"/>
        </w:rPr>
        <w:t>u</w:t>
      </w:r>
      <w:r w:rsidRPr="000E0F12">
        <w:rPr>
          <w:rFonts w:asciiTheme="majorBidi" w:hAnsiTheme="majorBidi" w:cstheme="majorBidi"/>
          <w:noProof/>
          <w:sz w:val="24"/>
          <w:szCs w:val="24"/>
        </w:rPr>
        <w:t>rse</w:t>
      </w:r>
      <w:r w:rsidRPr="00C329A3">
        <w:rPr>
          <w:rFonts w:asciiTheme="majorBidi" w:hAnsiTheme="majorBidi" w:cstheme="majorBidi"/>
          <w:sz w:val="24"/>
          <w:szCs w:val="24"/>
        </w:rPr>
        <w:t xml:space="preserve"> </w:t>
      </w:r>
      <w:r w:rsidR="00DA1EFF" w:rsidRPr="00C329A3">
        <w:rPr>
          <w:rFonts w:asciiTheme="majorBidi" w:hAnsiTheme="majorBidi" w:cstheme="majorBidi"/>
          <w:sz w:val="24"/>
          <w:szCs w:val="24"/>
        </w:rPr>
        <w:t xml:space="preserve">materials. </w:t>
      </w:r>
      <w:r w:rsidR="00C0294F" w:rsidRPr="00C329A3">
        <w:rPr>
          <w:rFonts w:asciiTheme="majorBidi" w:hAnsiTheme="majorBidi" w:cstheme="majorBidi"/>
          <w:sz w:val="24"/>
          <w:szCs w:val="24"/>
        </w:rPr>
        <w:t>The</w:t>
      </w:r>
      <w:r w:rsidRPr="00C329A3">
        <w:rPr>
          <w:rFonts w:asciiTheme="majorBidi" w:hAnsiTheme="majorBidi" w:cstheme="majorBidi"/>
          <w:sz w:val="24"/>
          <w:szCs w:val="24"/>
        </w:rPr>
        <w:t xml:space="preserve"> weighted 2 gm of samples and placed in small polythene bags, then they were transferred to</w:t>
      </w:r>
      <w:r w:rsidR="000E0F12">
        <w:rPr>
          <w:rFonts w:asciiTheme="majorBidi" w:hAnsiTheme="majorBidi" w:cstheme="majorBidi"/>
          <w:sz w:val="24"/>
          <w:szCs w:val="24"/>
        </w:rPr>
        <w:t xml:space="preserve"> the</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laboratory</w:t>
      </w:r>
      <w:r w:rsidRPr="00C329A3">
        <w:rPr>
          <w:rFonts w:asciiTheme="majorBidi" w:hAnsiTheme="majorBidi" w:cstheme="majorBidi"/>
          <w:sz w:val="24"/>
          <w:szCs w:val="24"/>
        </w:rPr>
        <w:t>.</w:t>
      </w:r>
    </w:p>
    <w:p w:rsidR="00313E7F" w:rsidRDefault="00E62C3E" w:rsidP="0062618E">
      <w:pPr>
        <w:spacing w:line="240" w:lineRule="auto"/>
        <w:jc w:val="both"/>
        <w:rPr>
          <w:rFonts w:asciiTheme="majorBidi" w:hAnsiTheme="majorBidi" w:cstheme="majorBidi"/>
          <w:sz w:val="24"/>
          <w:szCs w:val="24"/>
        </w:rPr>
      </w:pPr>
      <w:r w:rsidRPr="00C329A3">
        <w:rPr>
          <w:rFonts w:asciiTheme="majorBidi" w:hAnsiTheme="majorBidi" w:cstheme="majorBidi"/>
          <w:b/>
          <w:bCs/>
          <w:i/>
          <w:iCs/>
          <w:sz w:val="24"/>
          <w:szCs w:val="24"/>
        </w:rPr>
        <w:t>3.1.3 Analysis of Samples:</w:t>
      </w:r>
      <w:r w:rsidR="001D3183" w:rsidRPr="00C329A3">
        <w:rPr>
          <w:rFonts w:asciiTheme="majorBidi" w:hAnsiTheme="majorBidi" w:cstheme="majorBidi"/>
          <w:i/>
          <w:iCs/>
          <w:sz w:val="24"/>
          <w:szCs w:val="24"/>
        </w:rPr>
        <w:t xml:space="preserve"> </w:t>
      </w:r>
      <w:r w:rsidR="001D3183" w:rsidRPr="00C329A3">
        <w:rPr>
          <w:rFonts w:asciiTheme="majorBidi" w:hAnsiTheme="majorBidi" w:cstheme="majorBidi"/>
          <w:sz w:val="24"/>
          <w:szCs w:val="24"/>
        </w:rPr>
        <w:t>The</w:t>
      </w:r>
      <w:r w:rsidRPr="00C329A3">
        <w:rPr>
          <w:rFonts w:asciiTheme="majorBidi" w:hAnsiTheme="majorBidi" w:cstheme="majorBidi"/>
          <w:i/>
          <w:iCs/>
          <w:sz w:val="24"/>
          <w:szCs w:val="24"/>
        </w:rPr>
        <w:t xml:space="preserve"> </w:t>
      </w:r>
      <w:r w:rsidR="001D3183" w:rsidRPr="00C329A3">
        <w:rPr>
          <w:rFonts w:asciiTheme="majorBidi" w:hAnsiTheme="majorBidi" w:cstheme="majorBidi"/>
          <w:sz w:val="24"/>
          <w:szCs w:val="24"/>
        </w:rPr>
        <w:t>e</w:t>
      </w:r>
      <w:r w:rsidRPr="00C329A3">
        <w:rPr>
          <w:rFonts w:asciiTheme="majorBidi" w:hAnsiTheme="majorBidi" w:cstheme="majorBidi"/>
          <w:sz w:val="24"/>
          <w:szCs w:val="24"/>
        </w:rPr>
        <w:t>ight heavy metals As, Pb, Cd, Cr, Co, Cu, Ni,</w:t>
      </w:r>
      <w:r w:rsidR="00BB18EB">
        <w:rPr>
          <w:rFonts w:asciiTheme="majorBidi" w:hAnsiTheme="majorBidi" w:cstheme="majorBidi"/>
          <w:sz w:val="24"/>
          <w:szCs w:val="24"/>
        </w:rPr>
        <w:t xml:space="preserve"> and</w:t>
      </w:r>
      <w:r w:rsidRPr="00C329A3">
        <w:rPr>
          <w:rFonts w:asciiTheme="majorBidi" w:hAnsiTheme="majorBidi" w:cstheme="majorBidi"/>
          <w:sz w:val="24"/>
          <w:szCs w:val="24"/>
        </w:rPr>
        <w:t xml:space="preserve"> Zn, were analyzed in all samples. The concentrations of heavy metals were determined using Inductively Coupled Plasma-Mass Spectrometry (ICP-MS) at Acme labs/ Vancouver, BC Canada V6P 6E5. The detection limits for metals mentioned above are </w:t>
      </w:r>
      <w:r w:rsidR="00B43032" w:rsidRPr="00C329A3">
        <w:rPr>
          <w:rFonts w:asciiTheme="majorBidi" w:hAnsiTheme="majorBidi" w:cstheme="majorBidi"/>
          <w:sz w:val="24"/>
          <w:szCs w:val="24"/>
        </w:rPr>
        <w:t>0.1, 0.01, 0.01, 0.5, 0.1, 0.01, 0.1, 0.1 ppm, respectively.</w:t>
      </w:r>
      <w:r w:rsidR="0062618E">
        <w:rPr>
          <w:rFonts w:asciiTheme="majorBidi" w:hAnsiTheme="majorBidi" w:cstheme="majorBidi"/>
          <w:sz w:val="24"/>
          <w:szCs w:val="24"/>
        </w:rPr>
        <w:t xml:space="preserve"> </w:t>
      </w:r>
      <w:r w:rsidR="0062618E" w:rsidRPr="0062618E">
        <w:rPr>
          <w:rFonts w:asciiTheme="majorBidi" w:hAnsiTheme="majorBidi" w:cstheme="majorBidi"/>
          <w:sz w:val="24"/>
          <w:szCs w:val="24"/>
        </w:rPr>
        <w:t>The physicochemical characteristics of soil samples were</w:t>
      </w:r>
      <w:r w:rsidR="00E56BC2">
        <w:rPr>
          <w:rFonts w:asciiTheme="majorBidi" w:hAnsiTheme="majorBidi" w:cstheme="majorBidi"/>
          <w:sz w:val="24"/>
          <w:szCs w:val="24"/>
        </w:rPr>
        <w:t xml:space="preserve"> analyzed in the Environmental Research Unit Laboratory</w:t>
      </w:r>
      <w:r w:rsidR="00FF7CEA">
        <w:rPr>
          <w:rFonts w:asciiTheme="majorBidi" w:hAnsiTheme="majorBidi" w:cstheme="majorBidi"/>
          <w:sz w:val="24"/>
          <w:szCs w:val="24"/>
        </w:rPr>
        <w:t xml:space="preserve">/ </w:t>
      </w:r>
      <w:r w:rsidR="00E56BC2">
        <w:rPr>
          <w:rFonts w:asciiTheme="majorBidi" w:hAnsiTheme="majorBidi" w:cstheme="majorBidi"/>
          <w:sz w:val="24"/>
          <w:szCs w:val="24"/>
        </w:rPr>
        <w:t>College of Science/</w:t>
      </w:r>
      <w:r w:rsidR="00E80D26">
        <w:rPr>
          <w:rFonts w:asciiTheme="majorBidi" w:hAnsiTheme="majorBidi" w:cstheme="majorBidi"/>
          <w:sz w:val="24"/>
          <w:szCs w:val="24"/>
        </w:rPr>
        <w:t xml:space="preserve"> </w:t>
      </w:r>
      <w:r w:rsidR="00E56BC2">
        <w:rPr>
          <w:rFonts w:asciiTheme="majorBidi" w:hAnsiTheme="majorBidi" w:cstheme="majorBidi"/>
          <w:sz w:val="24"/>
          <w:szCs w:val="24"/>
        </w:rPr>
        <w:t>University of Kirkuk.</w:t>
      </w:r>
    </w:p>
    <w:p w:rsidR="00F750B0" w:rsidRPr="008C6A5B" w:rsidRDefault="00865BCF" w:rsidP="008C6A5B">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3.2 Statistical Analysis:</w:t>
      </w:r>
      <w:r w:rsidR="008C6A5B">
        <w:rPr>
          <w:rFonts w:asciiTheme="majorBidi" w:hAnsiTheme="majorBidi" w:cstheme="majorBidi"/>
          <w:b/>
          <w:bCs/>
          <w:i/>
          <w:iCs/>
          <w:sz w:val="24"/>
          <w:szCs w:val="24"/>
        </w:rPr>
        <w:t xml:space="preserve"> </w:t>
      </w:r>
      <w:r w:rsidR="00ED409C" w:rsidRPr="00C329A3">
        <w:rPr>
          <w:rFonts w:asciiTheme="majorBidi" w:hAnsiTheme="majorBidi" w:cstheme="majorBidi"/>
          <w:sz w:val="24"/>
          <w:szCs w:val="24"/>
        </w:rPr>
        <w:t>The</w:t>
      </w:r>
      <w:r w:rsidR="00BD5BE8" w:rsidRPr="00C329A3">
        <w:rPr>
          <w:rFonts w:asciiTheme="majorBidi" w:hAnsiTheme="majorBidi" w:cstheme="majorBidi"/>
          <w:sz w:val="24"/>
          <w:szCs w:val="24"/>
        </w:rPr>
        <w:t xml:space="preserve"> calculated of </w:t>
      </w:r>
      <w:r w:rsidRPr="00C329A3">
        <w:rPr>
          <w:rFonts w:asciiTheme="majorBidi" w:hAnsiTheme="majorBidi" w:cstheme="majorBidi"/>
          <w:sz w:val="24"/>
          <w:szCs w:val="24"/>
        </w:rPr>
        <w:t>descriptive statistical</w:t>
      </w:r>
      <w:r w:rsidR="00BD5BE8" w:rsidRPr="00C329A3">
        <w:rPr>
          <w:rFonts w:asciiTheme="majorBidi" w:hAnsiTheme="majorBidi" w:cstheme="majorBidi"/>
          <w:sz w:val="24"/>
          <w:szCs w:val="24"/>
        </w:rPr>
        <w:t xml:space="preserve"> parameters (</w:t>
      </w:r>
      <w:r w:rsidR="00213E05">
        <w:rPr>
          <w:rFonts w:asciiTheme="majorBidi" w:hAnsiTheme="majorBidi" w:cstheme="majorBidi"/>
          <w:sz w:val="24"/>
          <w:szCs w:val="24"/>
        </w:rPr>
        <w:t xml:space="preserve">median, </w:t>
      </w:r>
      <w:r w:rsidR="00BD5BE8" w:rsidRPr="00C329A3">
        <w:rPr>
          <w:rFonts w:asciiTheme="majorBidi" w:hAnsiTheme="majorBidi" w:cstheme="majorBidi"/>
          <w:sz w:val="24"/>
          <w:szCs w:val="24"/>
        </w:rPr>
        <w:t>average, max, and min) and Pearson’s correlation coefficients analysis were performed between heavy metals using the SPSS software</w:t>
      </w:r>
      <w:r w:rsidR="00ED409C" w:rsidRPr="00C329A3">
        <w:rPr>
          <w:rFonts w:asciiTheme="majorBidi" w:hAnsiTheme="majorBidi" w:cstheme="majorBidi"/>
          <w:sz w:val="24"/>
          <w:szCs w:val="24"/>
        </w:rPr>
        <w:t xml:space="preserve">, </w:t>
      </w:r>
      <w:r w:rsidR="00F750B0" w:rsidRPr="00C329A3">
        <w:rPr>
          <w:rFonts w:asciiTheme="majorBidi" w:hAnsiTheme="majorBidi" w:cstheme="majorBidi"/>
          <w:sz w:val="24"/>
          <w:szCs w:val="24"/>
        </w:rPr>
        <w:t>version</w:t>
      </w:r>
      <w:r w:rsidR="00ED409C" w:rsidRPr="00C329A3">
        <w:rPr>
          <w:rFonts w:asciiTheme="majorBidi" w:hAnsiTheme="majorBidi" w:cstheme="majorBidi"/>
          <w:sz w:val="24"/>
          <w:szCs w:val="24"/>
        </w:rPr>
        <w:t xml:space="preserve"> 22</w:t>
      </w:r>
      <w:r w:rsidR="00BD5BE8" w:rsidRPr="00C329A3">
        <w:rPr>
          <w:rFonts w:asciiTheme="majorBidi" w:hAnsiTheme="majorBidi" w:cstheme="majorBidi"/>
          <w:sz w:val="24"/>
          <w:szCs w:val="24"/>
        </w:rPr>
        <w:t>.</w:t>
      </w:r>
    </w:p>
    <w:p w:rsidR="006570EE" w:rsidRDefault="00F750B0" w:rsidP="008C6A5B">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3.3 Spatial Distribution Analysis:</w:t>
      </w:r>
      <w:r w:rsidRPr="00C329A3">
        <w:rPr>
          <w:rFonts w:asciiTheme="majorBidi" w:hAnsiTheme="majorBidi" w:cstheme="majorBidi"/>
          <w:sz w:val="24"/>
          <w:szCs w:val="24"/>
        </w:rPr>
        <w:t xml:space="preserve"> The spatial distribution maps of </w:t>
      </w:r>
      <w:r w:rsidR="001D3392">
        <w:rPr>
          <w:rFonts w:asciiTheme="majorBidi" w:hAnsiTheme="majorBidi" w:cstheme="majorBidi"/>
          <w:sz w:val="24"/>
          <w:szCs w:val="24"/>
        </w:rPr>
        <w:t>ecological</w:t>
      </w:r>
      <w:r w:rsidRPr="00C329A3">
        <w:rPr>
          <w:rFonts w:asciiTheme="majorBidi" w:hAnsiTheme="majorBidi" w:cstheme="majorBidi"/>
          <w:sz w:val="24"/>
          <w:szCs w:val="24"/>
        </w:rPr>
        <w:t xml:space="preserve"> indices were mapped </w:t>
      </w:r>
      <w:r w:rsidR="00650548">
        <w:rPr>
          <w:rFonts w:asciiTheme="majorBidi" w:hAnsiTheme="majorBidi" w:cstheme="majorBidi"/>
          <w:sz w:val="24"/>
          <w:szCs w:val="24"/>
        </w:rPr>
        <w:t xml:space="preserve">(scale 1:88000) </w:t>
      </w:r>
      <w:r w:rsidRPr="00C329A3">
        <w:rPr>
          <w:rFonts w:asciiTheme="majorBidi" w:hAnsiTheme="majorBidi" w:cstheme="majorBidi"/>
          <w:sz w:val="24"/>
          <w:szCs w:val="24"/>
        </w:rPr>
        <w:t>carried through Inverse Distance Weighted (IDW) m</w:t>
      </w:r>
      <w:r w:rsidR="00ED409C" w:rsidRPr="00C329A3">
        <w:rPr>
          <w:rFonts w:asciiTheme="majorBidi" w:hAnsiTheme="majorBidi" w:cstheme="majorBidi"/>
          <w:sz w:val="24"/>
          <w:szCs w:val="24"/>
        </w:rPr>
        <w:t>ethod by using ArcGIS software</w:t>
      </w:r>
      <w:r w:rsidR="001D3392">
        <w:rPr>
          <w:rFonts w:asciiTheme="majorBidi" w:hAnsiTheme="majorBidi" w:cstheme="majorBidi"/>
          <w:sz w:val="24"/>
          <w:szCs w:val="24"/>
        </w:rPr>
        <w:t xml:space="preserve"> (</w:t>
      </w:r>
      <w:r w:rsidR="00ED409C" w:rsidRPr="00C329A3">
        <w:rPr>
          <w:rFonts w:asciiTheme="majorBidi" w:hAnsiTheme="majorBidi" w:cstheme="majorBidi"/>
          <w:sz w:val="24"/>
          <w:szCs w:val="24"/>
        </w:rPr>
        <w:t>version 10.2</w:t>
      </w:r>
      <w:r w:rsidR="001D3392">
        <w:rPr>
          <w:rFonts w:asciiTheme="majorBidi" w:hAnsiTheme="majorBidi" w:cstheme="majorBidi"/>
          <w:sz w:val="24"/>
          <w:szCs w:val="24"/>
        </w:rPr>
        <w:t>)</w:t>
      </w:r>
      <w:r w:rsidRPr="00C329A3">
        <w:rPr>
          <w:rFonts w:asciiTheme="majorBidi" w:hAnsiTheme="majorBidi" w:cstheme="majorBidi"/>
          <w:sz w:val="24"/>
          <w:szCs w:val="24"/>
        </w:rPr>
        <w:t>.</w:t>
      </w:r>
      <w:r w:rsidR="00BD5BE8" w:rsidRPr="00C329A3">
        <w:rPr>
          <w:rFonts w:asciiTheme="majorBidi" w:hAnsiTheme="majorBidi" w:cstheme="majorBidi"/>
          <w:sz w:val="24"/>
          <w:szCs w:val="24"/>
        </w:rPr>
        <w:t xml:space="preserve"> </w:t>
      </w:r>
      <w:r w:rsidR="00865BCF" w:rsidRPr="00C329A3">
        <w:rPr>
          <w:rFonts w:asciiTheme="majorBidi" w:hAnsiTheme="majorBidi" w:cstheme="majorBidi"/>
          <w:sz w:val="24"/>
          <w:szCs w:val="24"/>
        </w:rPr>
        <w:t xml:space="preserve"> </w:t>
      </w:r>
    </w:p>
    <w:p w:rsidR="008C6A5B" w:rsidRPr="008C6A5B" w:rsidRDefault="008C6A5B" w:rsidP="008C6A5B">
      <w:pPr>
        <w:spacing w:line="240" w:lineRule="auto"/>
        <w:jc w:val="both"/>
        <w:rPr>
          <w:rFonts w:asciiTheme="majorBidi" w:hAnsiTheme="majorBidi" w:cstheme="majorBidi"/>
          <w:b/>
          <w:bCs/>
          <w:i/>
          <w:iCs/>
          <w:sz w:val="24"/>
          <w:szCs w:val="24"/>
        </w:rPr>
      </w:pPr>
    </w:p>
    <w:p w:rsidR="0096791C" w:rsidRDefault="006E06BF" w:rsidP="00F50341">
      <w:pPr>
        <w:spacing w:line="240" w:lineRule="auto"/>
        <w:jc w:val="both"/>
        <w:rPr>
          <w:rFonts w:asciiTheme="majorBidi" w:hAnsiTheme="majorBidi" w:cstheme="majorBidi"/>
          <w:b/>
          <w:b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 xml:space="preserve"> </w:t>
      </w:r>
      <w:r w:rsidR="001D3392">
        <w:rPr>
          <w:rFonts w:asciiTheme="majorBidi" w:hAnsiTheme="majorBidi" w:cstheme="majorBidi"/>
          <w:b/>
          <w:bCs/>
          <w:i/>
          <w:iCs/>
          <w:sz w:val="24"/>
          <w:szCs w:val="24"/>
        </w:rPr>
        <w:t xml:space="preserve">Ecological </w:t>
      </w:r>
      <w:r w:rsidRPr="00C329A3">
        <w:rPr>
          <w:rFonts w:asciiTheme="majorBidi" w:hAnsiTheme="majorBidi" w:cstheme="majorBidi"/>
          <w:b/>
          <w:bCs/>
          <w:i/>
          <w:iCs/>
          <w:sz w:val="24"/>
          <w:szCs w:val="24"/>
        </w:rPr>
        <w:t>Assessment Methods:</w:t>
      </w:r>
      <w:r w:rsidR="001D3183" w:rsidRPr="00C329A3">
        <w:rPr>
          <w:rFonts w:asciiTheme="majorBidi" w:hAnsiTheme="majorBidi" w:cstheme="majorBidi"/>
          <w:sz w:val="24"/>
          <w:szCs w:val="24"/>
        </w:rPr>
        <w:t xml:space="preserve"> </w:t>
      </w:r>
      <w:r w:rsidR="00F50341" w:rsidRPr="00F50341">
        <w:rPr>
          <w:rFonts w:asciiTheme="majorBidi" w:hAnsiTheme="majorBidi" w:cstheme="majorBidi"/>
          <w:sz w:val="24"/>
          <w:szCs w:val="24"/>
        </w:rPr>
        <w:t xml:space="preserve">The </w:t>
      </w:r>
      <w:r w:rsidR="001D3392">
        <w:rPr>
          <w:rFonts w:asciiTheme="majorBidi" w:hAnsiTheme="majorBidi" w:cstheme="majorBidi"/>
          <w:sz w:val="24"/>
          <w:szCs w:val="24"/>
        </w:rPr>
        <w:t xml:space="preserve">ecological </w:t>
      </w:r>
      <w:r w:rsidR="00F50341" w:rsidRPr="00F50341">
        <w:rPr>
          <w:rFonts w:asciiTheme="majorBidi" w:hAnsiTheme="majorBidi" w:cstheme="majorBidi"/>
          <w:sz w:val="24"/>
          <w:szCs w:val="24"/>
        </w:rPr>
        <w:t xml:space="preserve">assessment of </w:t>
      </w:r>
      <w:r w:rsidR="002A30B4">
        <w:rPr>
          <w:rFonts w:asciiTheme="majorBidi" w:hAnsiTheme="majorBidi" w:cstheme="majorBidi"/>
          <w:sz w:val="24"/>
          <w:szCs w:val="24"/>
        </w:rPr>
        <w:t xml:space="preserve">the </w:t>
      </w:r>
      <w:r w:rsidR="002A30B4" w:rsidRPr="00F50341">
        <w:rPr>
          <w:rFonts w:asciiTheme="majorBidi" w:hAnsiTheme="majorBidi" w:cstheme="majorBidi"/>
          <w:sz w:val="24"/>
          <w:szCs w:val="24"/>
        </w:rPr>
        <w:t>soil</w:t>
      </w:r>
      <w:r w:rsidR="002A30B4">
        <w:rPr>
          <w:rFonts w:asciiTheme="majorBidi" w:hAnsiTheme="majorBidi" w:cstheme="majorBidi"/>
          <w:sz w:val="24"/>
          <w:szCs w:val="24"/>
        </w:rPr>
        <w:t xml:space="preserve"> of </w:t>
      </w:r>
      <w:r w:rsidR="001D3392">
        <w:rPr>
          <w:rFonts w:asciiTheme="majorBidi" w:hAnsiTheme="majorBidi" w:cstheme="majorBidi"/>
          <w:sz w:val="24"/>
          <w:szCs w:val="24"/>
        </w:rPr>
        <w:t>Shewasoor sub-basin</w:t>
      </w:r>
      <w:r w:rsidR="00F50341" w:rsidRPr="00F50341">
        <w:rPr>
          <w:rFonts w:asciiTheme="majorBidi" w:hAnsiTheme="majorBidi" w:cstheme="majorBidi"/>
          <w:sz w:val="24"/>
          <w:szCs w:val="24"/>
        </w:rPr>
        <w:t xml:space="preserve"> was performed by using the following </w:t>
      </w:r>
      <w:r w:rsidR="001D3392">
        <w:rPr>
          <w:rFonts w:asciiTheme="majorBidi" w:hAnsiTheme="majorBidi" w:cstheme="majorBidi"/>
          <w:sz w:val="24"/>
          <w:szCs w:val="24"/>
        </w:rPr>
        <w:t>ecological</w:t>
      </w:r>
      <w:r w:rsidR="00F50341" w:rsidRPr="00F50341">
        <w:rPr>
          <w:rFonts w:asciiTheme="majorBidi" w:hAnsiTheme="majorBidi" w:cstheme="majorBidi"/>
          <w:sz w:val="24"/>
          <w:szCs w:val="24"/>
        </w:rPr>
        <w:t xml:space="preserve"> indices:</w:t>
      </w:r>
    </w:p>
    <w:p w:rsidR="00393805" w:rsidRPr="00C329A3" w:rsidRDefault="00393805" w:rsidP="00393805">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3.4.</w:t>
      </w:r>
      <w:r w:rsidR="007C0C0B">
        <w:rPr>
          <w:rFonts w:asciiTheme="majorBidi" w:hAnsiTheme="majorBidi" w:cstheme="majorBidi"/>
          <w:b/>
          <w:bCs/>
          <w:i/>
          <w:iCs/>
          <w:sz w:val="24"/>
          <w:szCs w:val="24"/>
        </w:rPr>
        <w:t>1</w:t>
      </w:r>
      <w:r w:rsidRPr="00C329A3">
        <w:rPr>
          <w:rFonts w:asciiTheme="majorBidi" w:hAnsiTheme="majorBidi" w:cstheme="majorBidi"/>
          <w:b/>
          <w:bCs/>
          <w:i/>
          <w:iCs/>
          <w:sz w:val="24"/>
          <w:szCs w:val="24"/>
        </w:rPr>
        <w:t xml:space="preserve"> Nemerow Pollution Index (</w:t>
      </w:r>
      <m:oMath>
        <m:sSub>
          <m:sSubPr>
            <m:ctrlPr>
              <w:rPr>
                <w:rFonts w:ascii="Cambria Math" w:hAnsi="Cambria Math" w:cstheme="majorBidi"/>
                <w:b/>
                <w:bCs/>
                <w:i/>
                <w:iCs/>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N</m:t>
            </m:r>
          </m:sub>
        </m:sSub>
      </m:oMath>
      <w:r w:rsidRPr="00C329A3">
        <w:rPr>
          <w:rFonts w:asciiTheme="majorBidi" w:hAnsiTheme="majorBidi" w:cstheme="majorBidi"/>
          <w:b/>
          <w:bCs/>
          <w:i/>
          <w:iCs/>
          <w:sz w:val="24"/>
          <w:szCs w:val="24"/>
        </w:rPr>
        <w:t>):</w:t>
      </w:r>
    </w:p>
    <w:p w:rsidR="00393805" w:rsidRPr="009E34B0" w:rsidRDefault="00393805" w:rsidP="00393805">
      <w:pPr>
        <w:spacing w:line="240" w:lineRule="auto"/>
        <w:jc w:val="both"/>
        <w:rPr>
          <w:rFonts w:asciiTheme="majorBidi" w:hAnsiTheme="majorBidi" w:cstheme="majorBidi"/>
          <w:iCs/>
          <w:sz w:val="24"/>
          <w:szCs w:val="24"/>
        </w:rPr>
      </w:pPr>
      <w:r w:rsidRPr="00C329A3">
        <w:rPr>
          <w:rFonts w:asciiTheme="majorBidi" w:hAnsiTheme="majorBidi" w:cstheme="majorBidi"/>
          <w:sz w:val="24"/>
          <w:szCs w:val="24"/>
        </w:rPr>
        <w:t xml:space="preserve">     </w:t>
      </w:r>
      <w:r w:rsidRPr="009E34B0">
        <w:rPr>
          <w:rFonts w:asciiTheme="majorBidi" w:hAnsiTheme="majorBidi" w:cstheme="majorBidi"/>
          <w:sz w:val="24"/>
          <w:szCs w:val="24"/>
        </w:rPr>
        <w:t>The Nemerow pollution index (</w:t>
      </w:r>
      <m:oMath>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9E34B0">
        <w:rPr>
          <w:rFonts w:asciiTheme="majorBidi" w:hAnsiTheme="majorBidi" w:cstheme="majorBidi"/>
          <w:iCs/>
          <w:sz w:val="24"/>
          <w:szCs w:val="24"/>
        </w:rPr>
        <w:t xml:space="preserve">) was used to assess the total contamination level of heavy metals in the soil of study area and evaluate environment quality. The Nemerow pollution index was calculated by using the following equation </w:t>
      </w:r>
      <w:bookmarkStart w:id="6" w:name="_Hlk480224697"/>
      <w:bookmarkStart w:id="7" w:name="_Hlk484642461"/>
      <w:r w:rsidRPr="009E34B0">
        <w:rPr>
          <w:rFonts w:asciiTheme="majorBidi" w:hAnsiTheme="majorBidi" w:cstheme="majorBidi"/>
          <w:iCs/>
          <w:sz w:val="24"/>
          <w:szCs w:val="24"/>
        </w:rPr>
        <w:t>(</w:t>
      </w:r>
      <w:bookmarkEnd w:id="6"/>
      <w:r w:rsidRPr="009E34B0">
        <w:rPr>
          <w:rFonts w:asciiTheme="majorBidi" w:hAnsiTheme="majorBidi" w:cstheme="majorBidi"/>
          <w:iCs/>
          <w:sz w:val="24"/>
          <w:szCs w:val="24"/>
        </w:rPr>
        <w:t>Chen et al., 2015)</w:t>
      </w:r>
      <w:bookmarkEnd w:id="7"/>
      <w:r w:rsidRPr="009E34B0">
        <w:rPr>
          <w:rFonts w:asciiTheme="majorBidi" w:hAnsiTheme="majorBidi" w:cstheme="majorBidi"/>
          <w:iCs/>
          <w:sz w:val="24"/>
          <w:szCs w:val="24"/>
        </w:rPr>
        <w:t xml:space="preserve">, </w:t>
      </w:r>
      <w:r w:rsidR="006855AE">
        <w:rPr>
          <w:rFonts w:asciiTheme="majorBidi" w:hAnsiTheme="majorBidi" w:cstheme="majorBidi"/>
          <w:iCs/>
          <w:sz w:val="24"/>
          <w:szCs w:val="24"/>
        </w:rPr>
        <w:t xml:space="preserve">see </w:t>
      </w:r>
      <w:r w:rsidRPr="009E34B0">
        <w:rPr>
          <w:rFonts w:asciiTheme="majorBidi" w:hAnsiTheme="majorBidi" w:cstheme="majorBidi"/>
          <w:iCs/>
          <w:sz w:val="24"/>
          <w:szCs w:val="24"/>
        </w:rPr>
        <w:t xml:space="preserve">(Table </w:t>
      </w:r>
      <w:r w:rsidR="006855AE">
        <w:rPr>
          <w:rFonts w:asciiTheme="majorBidi" w:hAnsiTheme="majorBidi" w:cstheme="majorBidi"/>
          <w:iCs/>
          <w:sz w:val="24"/>
          <w:szCs w:val="24"/>
        </w:rPr>
        <w:t>1</w:t>
      </w:r>
      <w:r w:rsidRPr="009E34B0">
        <w:rPr>
          <w:rFonts w:asciiTheme="majorBidi" w:hAnsiTheme="majorBidi" w:cstheme="majorBidi"/>
          <w:iCs/>
          <w:sz w:val="24"/>
          <w:szCs w:val="24"/>
        </w:rPr>
        <w:t>):</w:t>
      </w:r>
    </w:p>
    <w:p w:rsidR="00393805" w:rsidRPr="009E34B0" w:rsidRDefault="00393805" w:rsidP="00393805">
      <w:pPr>
        <w:spacing w:line="240" w:lineRule="auto"/>
        <w:jc w:val="both"/>
        <w:rPr>
          <w:rFonts w:asciiTheme="majorBidi" w:hAnsiTheme="majorBidi" w:cstheme="majorBidi"/>
          <w:sz w:val="24"/>
          <w:szCs w:val="24"/>
        </w:rPr>
      </w:pPr>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m:oMath>
        <m:r>
          <w:rPr>
            <w:rFonts w:ascii="Cambria Math" w:hAnsi="Cambria Math" w:cstheme="majorBidi"/>
            <w:sz w:val="24"/>
            <w:szCs w:val="24"/>
          </w:rPr>
          <m:t xml:space="preserve">PI=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n</m:t>
                </m:r>
              </m:sub>
            </m:sSub>
          </m:num>
          <m:den>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den>
        </m:f>
      </m:oMath>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w:r w:rsidR="006855AE">
        <w:rPr>
          <w:rFonts w:asciiTheme="majorBidi" w:hAnsiTheme="majorBidi" w:cstheme="majorBidi"/>
          <w:sz w:val="24"/>
          <w:szCs w:val="24"/>
        </w:rPr>
        <w:t>1</w:t>
      </w:r>
      <w:r w:rsidRPr="009E34B0">
        <w:rPr>
          <w:rFonts w:asciiTheme="majorBidi" w:hAnsiTheme="majorBidi" w:cstheme="majorBidi"/>
          <w:sz w:val="24"/>
          <w:szCs w:val="24"/>
        </w:rPr>
        <w:t>)</w:t>
      </w:r>
    </w:p>
    <w:p w:rsidR="00393805" w:rsidRPr="009E34B0" w:rsidRDefault="00393805" w:rsidP="00393805">
      <w:pPr>
        <w:spacing w:line="240" w:lineRule="auto"/>
        <w:jc w:val="both"/>
        <w:rPr>
          <w:rFonts w:asciiTheme="majorBidi" w:hAnsiTheme="majorBidi" w:cstheme="majorBidi"/>
          <w:sz w:val="24"/>
          <w:szCs w:val="24"/>
        </w:rPr>
      </w:pPr>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r>
          <w:rPr>
            <w:rFonts w:ascii="Cambria Math" w:hAnsi="Cambria Math" w:cstheme="majorBidi"/>
            <w:sz w:val="24"/>
            <w:szCs w:val="24"/>
          </w:rPr>
          <m:t>=</m:t>
        </m:r>
        <m:rad>
          <m:radPr>
            <m:ctrlPr>
              <w:rPr>
                <w:rFonts w:ascii="Cambria Math" w:hAnsi="Cambria Math" w:cstheme="majorBidi"/>
                <w:i/>
                <w:sz w:val="24"/>
                <w:szCs w:val="24"/>
              </w:rPr>
            </m:ctrlPr>
          </m:radPr>
          <m:deg>
            <m:r>
              <w:rPr>
                <w:rFonts w:ascii="Cambria Math" w:hAnsi="Cambria Math" w:cstheme="majorBidi"/>
                <w:sz w:val="24"/>
                <w:szCs w:val="24"/>
              </w:rPr>
              <m:t>2</m:t>
            </m:r>
          </m:deg>
          <m:e>
            <m:f>
              <m:fPr>
                <m:type m:val="lin"/>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m:t>
                    </m:r>
                    <w:bookmarkStart w:id="8" w:name="_Hlk480223734"/>
                    <m:sSub>
                      <m:sSubPr>
                        <m:ctrlPr>
                          <w:rPr>
                            <w:rFonts w:ascii="Cambria Math" w:hAnsi="Cambria Math" w:cstheme="majorBidi"/>
                            <w:i/>
                            <w:sz w:val="24"/>
                            <w:szCs w:val="24"/>
                          </w:rPr>
                        </m:ctrlPr>
                      </m:sSubPr>
                      <m:e>
                        <m:r>
                          <w:rPr>
                            <w:rFonts w:ascii="Cambria Math" w:hAnsi="Cambria Math" w:cstheme="majorBidi"/>
                            <w:sz w:val="24"/>
                            <w:szCs w:val="24"/>
                          </w:rPr>
                          <m:t>PI</m:t>
                        </m:r>
                      </m:e>
                      <m:sub>
                        <m:r>
                          <w:rPr>
                            <w:rFonts w:ascii="Cambria Math" w:hAnsi="Cambria Math" w:cstheme="majorBidi"/>
                            <w:sz w:val="24"/>
                            <w:szCs w:val="24"/>
                          </w:rPr>
                          <m:t>max</m:t>
                        </m:r>
                      </m:sub>
                    </m:sSub>
                    <w:bookmarkEnd w:id="8"/>
                    <m:r>
                      <w:rPr>
                        <w:rFonts w:ascii="Cambria Math" w:hAnsi="Cambria Math" w:cstheme="majorBidi"/>
                        <w:sz w:val="24"/>
                        <w:szCs w:val="24"/>
                      </w:rPr>
                      <m:t>)</m:t>
                    </m:r>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PI</m:t>
                        </m:r>
                      </m:e>
                      <m:sub>
                        <m:r>
                          <w:rPr>
                            <w:rFonts w:ascii="Cambria Math" w:hAnsi="Cambria Math" w:cstheme="majorBidi"/>
                            <w:sz w:val="24"/>
                            <w:szCs w:val="24"/>
                          </w:rPr>
                          <m:t>average</m:t>
                        </m:r>
                      </m:sub>
                    </m:sSub>
                    <m:r>
                      <w:rPr>
                        <w:rFonts w:ascii="Cambria Math" w:hAnsi="Cambria Math" w:cstheme="majorBidi"/>
                        <w:sz w:val="24"/>
                        <w:szCs w:val="24"/>
                      </w:rPr>
                      <m:t>)</m:t>
                    </m:r>
                  </m:e>
                  <m:sup>
                    <m:r>
                      <w:rPr>
                        <w:rFonts w:ascii="Cambria Math" w:hAnsi="Cambria Math" w:cstheme="majorBidi"/>
                        <w:sz w:val="24"/>
                        <w:szCs w:val="24"/>
                      </w:rPr>
                      <m:t>2</m:t>
                    </m:r>
                  </m:sup>
                </m:sSup>
              </m:num>
              <m:den>
                <m:r>
                  <w:rPr>
                    <w:rFonts w:ascii="Cambria Math" w:hAnsi="Cambria Math" w:cstheme="majorBidi"/>
                    <w:sz w:val="24"/>
                    <w:szCs w:val="24"/>
                  </w:rPr>
                  <m:t>2</m:t>
                </m:r>
              </m:den>
            </m:f>
          </m:e>
        </m:rad>
      </m:oMath>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w:r>
        <w:rPr>
          <w:rFonts w:asciiTheme="majorBidi" w:hAnsiTheme="majorBidi" w:cstheme="majorBidi"/>
          <w:sz w:val="24"/>
          <w:szCs w:val="24"/>
        </w:rPr>
        <w:t xml:space="preserve">   </w:t>
      </w:r>
      <w:r w:rsidRPr="009E34B0">
        <w:rPr>
          <w:rFonts w:asciiTheme="majorBidi" w:hAnsiTheme="majorBidi" w:cstheme="majorBidi"/>
          <w:sz w:val="24"/>
          <w:szCs w:val="24"/>
        </w:rPr>
        <w:t xml:space="preserve">   (</w:t>
      </w:r>
      <w:r w:rsidR="006855AE">
        <w:rPr>
          <w:rFonts w:asciiTheme="majorBidi" w:hAnsiTheme="majorBidi" w:cstheme="majorBidi"/>
          <w:sz w:val="24"/>
          <w:szCs w:val="24"/>
        </w:rPr>
        <w:t>2</w:t>
      </w:r>
      <w:r w:rsidRPr="009E34B0">
        <w:rPr>
          <w:rFonts w:asciiTheme="majorBidi" w:hAnsiTheme="majorBidi" w:cstheme="majorBidi"/>
          <w:sz w:val="24"/>
          <w:szCs w:val="24"/>
        </w:rPr>
        <w:t>)</w:t>
      </w:r>
    </w:p>
    <w:p w:rsidR="00393805" w:rsidRDefault="00393805" w:rsidP="00393805">
      <w:pPr>
        <w:spacing w:line="240" w:lineRule="auto"/>
        <w:jc w:val="both"/>
        <w:rPr>
          <w:rFonts w:asciiTheme="majorBidi" w:hAnsiTheme="majorBidi" w:cstheme="majorBidi"/>
          <w:sz w:val="24"/>
          <w:szCs w:val="24"/>
        </w:rPr>
      </w:pPr>
      <w:r w:rsidRPr="009E34B0">
        <w:rPr>
          <w:rFonts w:asciiTheme="majorBidi" w:hAnsiTheme="majorBidi" w:cstheme="majorBidi"/>
          <w:sz w:val="24"/>
          <w:szCs w:val="24"/>
        </w:rPr>
        <w:t xml:space="preserve">     Where: </w:t>
      </w:r>
      <m:oMath>
        <m:r>
          <w:rPr>
            <w:rFonts w:ascii="Cambria Math" w:hAnsi="Cambria Math" w:cstheme="majorBidi"/>
            <w:sz w:val="24"/>
            <w:szCs w:val="24"/>
          </w:rPr>
          <m:t>PI</m:t>
        </m:r>
      </m:oMath>
      <w:r w:rsidRPr="009E34B0">
        <w:rPr>
          <w:rFonts w:asciiTheme="majorBidi" w:hAnsiTheme="majorBidi" w:cstheme="majorBidi"/>
          <w:sz w:val="24"/>
          <w:szCs w:val="24"/>
        </w:rPr>
        <w:t xml:space="preserve"> is Pollution Index of heavy metal (n),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n</m:t>
            </m:r>
          </m:sub>
        </m:sSub>
      </m:oMath>
      <w:r w:rsidRPr="009E34B0">
        <w:rPr>
          <w:rFonts w:asciiTheme="majorBidi" w:hAnsiTheme="majorBidi" w:cstheme="majorBidi"/>
          <w:sz w:val="24"/>
          <w:szCs w:val="24"/>
        </w:rPr>
        <w:t xml:space="preserve"> is Measured concentration of heavy metal (n),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n</m:t>
            </m:r>
          </m:sub>
        </m:sSub>
      </m:oMath>
      <w:r w:rsidRPr="009E34B0">
        <w:rPr>
          <w:rFonts w:asciiTheme="majorBidi" w:hAnsiTheme="majorBidi" w:cstheme="majorBidi"/>
          <w:sz w:val="24"/>
          <w:szCs w:val="24"/>
        </w:rPr>
        <w:t xml:space="preserve"> is Background concentration of heavy metal (n), according to (Wedephol, 1995),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9E34B0">
        <w:rPr>
          <w:rFonts w:asciiTheme="majorBidi" w:hAnsiTheme="majorBidi" w:cstheme="majorBidi"/>
          <w:sz w:val="24"/>
          <w:szCs w:val="24"/>
        </w:rPr>
        <w:t xml:space="preserve"> is Nemerow pollution index, </w:t>
      </w:r>
      <m:oMath>
        <m:sSub>
          <m:sSubPr>
            <m:ctrlPr>
              <w:rPr>
                <w:rFonts w:ascii="Cambria Math" w:hAnsi="Cambria Math" w:cstheme="majorBidi"/>
                <w:i/>
                <w:sz w:val="24"/>
                <w:szCs w:val="24"/>
              </w:rPr>
            </m:ctrlPr>
          </m:sSubPr>
          <m:e>
            <m:r>
              <w:rPr>
                <w:rFonts w:ascii="Cambria Math" w:hAnsi="Cambria Math" w:cstheme="majorBidi"/>
                <w:sz w:val="24"/>
                <w:szCs w:val="24"/>
              </w:rPr>
              <m:t>PI</m:t>
            </m:r>
          </m:e>
          <m:sub>
            <m:r>
              <w:rPr>
                <w:rFonts w:ascii="Cambria Math" w:hAnsi="Cambria Math" w:cstheme="majorBidi"/>
                <w:sz w:val="24"/>
                <w:szCs w:val="24"/>
              </w:rPr>
              <m:t>max</m:t>
            </m:r>
          </m:sub>
        </m:sSub>
      </m:oMath>
      <w:r w:rsidRPr="009E34B0">
        <w:rPr>
          <w:rFonts w:asciiTheme="majorBidi" w:hAnsiTheme="majorBidi" w:cstheme="majorBidi"/>
          <w:sz w:val="24"/>
          <w:szCs w:val="24"/>
        </w:rPr>
        <w:t xml:space="preserve"> is Maximum pollution index value for all of the pollutant, </w:t>
      </w:r>
      <m:oMath>
        <m:sSub>
          <m:sSubPr>
            <m:ctrlPr>
              <w:rPr>
                <w:rFonts w:ascii="Cambria Math" w:hAnsi="Cambria Math" w:cstheme="majorBidi"/>
                <w:i/>
                <w:sz w:val="24"/>
                <w:szCs w:val="24"/>
              </w:rPr>
            </m:ctrlPr>
          </m:sSubPr>
          <m:e>
            <m:r>
              <w:rPr>
                <w:rFonts w:ascii="Cambria Math" w:hAnsi="Cambria Math" w:cstheme="majorBidi"/>
                <w:sz w:val="24"/>
                <w:szCs w:val="24"/>
              </w:rPr>
              <m:t>PI</m:t>
            </m:r>
          </m:e>
          <m:sub>
            <m:r>
              <w:rPr>
                <w:rFonts w:ascii="Cambria Math" w:hAnsi="Cambria Math" w:cstheme="majorBidi"/>
                <w:sz w:val="24"/>
                <w:szCs w:val="24"/>
              </w:rPr>
              <m:t>average</m:t>
            </m:r>
          </m:sub>
        </m:sSub>
      </m:oMath>
      <w:r w:rsidRPr="009E34B0">
        <w:rPr>
          <w:rFonts w:asciiTheme="majorBidi" w:hAnsiTheme="majorBidi" w:cstheme="majorBidi"/>
          <w:sz w:val="24"/>
          <w:szCs w:val="24"/>
        </w:rPr>
        <w:t xml:space="preserve"> is Average pollution index value for all of the pollutant.</w:t>
      </w:r>
    </w:p>
    <w:p w:rsidR="00393805" w:rsidRPr="006177A7" w:rsidRDefault="00393805" w:rsidP="00393805">
      <w:pPr>
        <w:spacing w:line="240" w:lineRule="auto"/>
        <w:jc w:val="both"/>
        <w:rPr>
          <w:rFonts w:asciiTheme="majorBidi" w:hAnsiTheme="majorBidi" w:cstheme="majorBidi"/>
          <w:sz w:val="22"/>
          <w:szCs w:val="22"/>
        </w:rPr>
      </w:pPr>
      <w:r w:rsidRPr="00C329A3">
        <w:rPr>
          <w:rFonts w:asciiTheme="majorBidi" w:hAnsiTheme="majorBidi" w:cstheme="majorBidi"/>
          <w:sz w:val="24"/>
          <w:szCs w:val="24"/>
        </w:rPr>
        <w:t xml:space="preserve">        </w:t>
      </w:r>
      <w:r>
        <w:rPr>
          <w:rFonts w:asciiTheme="majorBidi" w:hAnsiTheme="majorBidi" w:cstheme="majorBidi"/>
          <w:sz w:val="24"/>
          <w:szCs w:val="24"/>
        </w:rPr>
        <w:t xml:space="preserve">       </w:t>
      </w:r>
      <w:r w:rsidRPr="006177A7">
        <w:rPr>
          <w:rFonts w:asciiTheme="majorBidi" w:hAnsiTheme="majorBidi" w:cstheme="majorBidi"/>
          <w:b/>
          <w:bCs/>
          <w:sz w:val="22"/>
          <w:szCs w:val="22"/>
        </w:rPr>
        <w:t xml:space="preserve">Table </w:t>
      </w:r>
      <w:r>
        <w:rPr>
          <w:rFonts w:asciiTheme="majorBidi" w:hAnsiTheme="majorBidi" w:cstheme="majorBidi"/>
          <w:b/>
          <w:bCs/>
          <w:sz w:val="22"/>
          <w:szCs w:val="22"/>
        </w:rPr>
        <w:t>1</w:t>
      </w:r>
      <w:r w:rsidRPr="006177A7">
        <w:rPr>
          <w:rFonts w:asciiTheme="majorBidi" w:hAnsiTheme="majorBidi" w:cstheme="majorBidi"/>
          <w:b/>
          <w:bCs/>
          <w:sz w:val="22"/>
          <w:szCs w:val="22"/>
        </w:rPr>
        <w:t xml:space="preserve"> </w:t>
      </w:r>
      <w:r w:rsidRPr="006177A7">
        <w:rPr>
          <w:rFonts w:asciiTheme="majorBidi" w:hAnsiTheme="majorBidi" w:cstheme="majorBidi"/>
          <w:sz w:val="22"/>
          <w:szCs w:val="22"/>
        </w:rPr>
        <w:t>Nemerow Pollution Index (</w:t>
      </w:r>
      <m:oMath>
        <m:sSub>
          <m:sSubPr>
            <m:ctrlPr>
              <w:rPr>
                <w:rFonts w:ascii="Cambria Math" w:hAnsi="Cambria Math" w:cstheme="majorBidi"/>
                <w:i/>
                <w:iCs/>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Pr="006177A7">
        <w:rPr>
          <w:rFonts w:asciiTheme="majorBidi" w:hAnsiTheme="majorBidi" w:cstheme="majorBidi"/>
          <w:iCs/>
          <w:sz w:val="22"/>
          <w:szCs w:val="22"/>
        </w:rPr>
        <w:t>) and Contamination Level (Chen et al., 2015).</w:t>
      </w: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15"/>
        <w:gridCol w:w="5040"/>
      </w:tblGrid>
      <w:tr w:rsidR="00393805" w:rsidRPr="001301F3" w:rsidTr="000E4C9C">
        <w:trPr>
          <w:trHeight w:val="144"/>
          <w:jc w:val="center"/>
        </w:trPr>
        <w:tc>
          <w:tcPr>
            <w:tcW w:w="2415" w:type="dxa"/>
            <w:tcBorders>
              <w:top w:val="single" w:sz="12" w:space="0" w:color="auto"/>
              <w:bottom w:val="single" w:sz="12" w:space="0" w:color="auto"/>
              <w:right w:val="single" w:sz="12" w:space="0" w:color="auto"/>
            </w:tcBorders>
            <w:shd w:val="clear" w:color="auto" w:fill="C00000"/>
          </w:tcPr>
          <w:p w:rsidR="00393805" w:rsidRPr="001301F3" w:rsidRDefault="00CC313B" w:rsidP="007719D5">
            <w:pPr>
              <w:rPr>
                <w:rFonts w:asciiTheme="majorBidi" w:hAnsiTheme="majorBidi" w:cstheme="majorBidi"/>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00393805" w:rsidRPr="001301F3">
              <w:rPr>
                <w:rFonts w:asciiTheme="majorBidi" w:hAnsiTheme="majorBidi" w:cstheme="majorBidi"/>
                <w:sz w:val="22"/>
                <w:szCs w:val="22"/>
              </w:rPr>
              <w:t xml:space="preserve"> value</w:t>
            </w:r>
          </w:p>
        </w:tc>
        <w:tc>
          <w:tcPr>
            <w:tcW w:w="5040" w:type="dxa"/>
            <w:tcBorders>
              <w:top w:val="single" w:sz="12" w:space="0" w:color="auto"/>
              <w:left w:val="single" w:sz="12" w:space="0" w:color="auto"/>
              <w:bottom w:val="single" w:sz="12" w:space="0" w:color="auto"/>
            </w:tcBorders>
            <w:shd w:val="clear" w:color="auto" w:fill="C00000"/>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iCs/>
                <w:sz w:val="22"/>
                <w:szCs w:val="22"/>
              </w:rPr>
              <w:t>Contamination Level</w:t>
            </w:r>
          </w:p>
        </w:tc>
      </w:tr>
      <w:tr w:rsidR="00393805" w:rsidRPr="001301F3" w:rsidTr="007719D5">
        <w:trPr>
          <w:trHeight w:val="144"/>
          <w:jc w:val="center"/>
        </w:trPr>
        <w:tc>
          <w:tcPr>
            <w:tcW w:w="2415" w:type="dxa"/>
            <w:tcBorders>
              <w:top w:val="single" w:sz="12" w:space="0" w:color="auto"/>
            </w:tcBorders>
          </w:tcPr>
          <w:p w:rsidR="00393805" w:rsidRPr="001301F3" w:rsidRDefault="00CC313B" w:rsidP="007719D5">
            <w:pPr>
              <w:rPr>
                <w:rFonts w:asciiTheme="majorBidi" w:hAnsiTheme="majorBidi" w:cstheme="majorBidi"/>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00393805" w:rsidRPr="001301F3">
              <w:rPr>
                <w:rFonts w:asciiTheme="majorBidi" w:hAnsiTheme="majorBidi" w:cstheme="majorBidi"/>
                <w:sz w:val="22"/>
                <w:szCs w:val="22"/>
              </w:rPr>
              <w:t xml:space="preserve"> ≤ 1</w:t>
            </w:r>
          </w:p>
        </w:tc>
        <w:tc>
          <w:tcPr>
            <w:tcW w:w="5040" w:type="dxa"/>
            <w:tcBorders>
              <w:top w:val="single" w:sz="12" w:space="0" w:color="auto"/>
            </w:tcBorders>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Soil has not been contaminated</w:t>
            </w:r>
          </w:p>
        </w:tc>
      </w:tr>
      <w:tr w:rsidR="00393805" w:rsidRPr="001301F3" w:rsidTr="007719D5">
        <w:trPr>
          <w:trHeight w:val="144"/>
          <w:jc w:val="center"/>
        </w:trPr>
        <w:tc>
          <w:tcPr>
            <w:tcW w:w="2415" w:type="dxa"/>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 xml:space="preserve">1 &lt; </w:t>
            </w:r>
            <m:oMath>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Pr="001301F3">
              <w:rPr>
                <w:rFonts w:asciiTheme="majorBidi" w:hAnsiTheme="majorBidi" w:cstheme="majorBidi"/>
                <w:sz w:val="22"/>
                <w:szCs w:val="22"/>
              </w:rPr>
              <w:t xml:space="preserve"> ≤ 2</w:t>
            </w:r>
          </w:p>
        </w:tc>
        <w:tc>
          <w:tcPr>
            <w:tcW w:w="5040" w:type="dxa"/>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Soil has been slightly contaminated</w:t>
            </w:r>
          </w:p>
        </w:tc>
      </w:tr>
      <w:tr w:rsidR="00393805" w:rsidRPr="001301F3" w:rsidTr="007719D5">
        <w:trPr>
          <w:trHeight w:val="144"/>
          <w:jc w:val="center"/>
        </w:trPr>
        <w:tc>
          <w:tcPr>
            <w:tcW w:w="2415" w:type="dxa"/>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 xml:space="preserve">2 &lt; </w:t>
            </w:r>
            <m:oMath>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Pr="001301F3">
              <w:rPr>
                <w:rFonts w:asciiTheme="majorBidi" w:hAnsiTheme="majorBidi" w:cstheme="majorBidi"/>
                <w:sz w:val="22"/>
                <w:szCs w:val="22"/>
              </w:rPr>
              <w:t xml:space="preserve"> ≤ 3</w:t>
            </w:r>
          </w:p>
        </w:tc>
        <w:tc>
          <w:tcPr>
            <w:tcW w:w="5040" w:type="dxa"/>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Soil has been moderately contaminated</w:t>
            </w:r>
          </w:p>
        </w:tc>
      </w:tr>
      <w:tr w:rsidR="00393805" w:rsidRPr="001301F3" w:rsidTr="007719D5">
        <w:trPr>
          <w:trHeight w:val="144"/>
          <w:jc w:val="center"/>
        </w:trPr>
        <w:tc>
          <w:tcPr>
            <w:tcW w:w="2415" w:type="dxa"/>
            <w:tcBorders>
              <w:bottom w:val="single" w:sz="12" w:space="0" w:color="auto"/>
            </w:tcBorders>
          </w:tcPr>
          <w:p w:rsidR="00393805" w:rsidRPr="001301F3" w:rsidRDefault="00CC313B" w:rsidP="007719D5">
            <w:pPr>
              <w:rPr>
                <w:rFonts w:asciiTheme="majorBidi" w:hAnsiTheme="majorBidi" w:cstheme="majorBidi"/>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00393805" w:rsidRPr="001301F3">
              <w:rPr>
                <w:rFonts w:asciiTheme="majorBidi" w:hAnsiTheme="majorBidi" w:cstheme="majorBidi"/>
                <w:sz w:val="22"/>
                <w:szCs w:val="22"/>
              </w:rPr>
              <w:t xml:space="preserve">&gt; 3 </w:t>
            </w:r>
          </w:p>
        </w:tc>
        <w:tc>
          <w:tcPr>
            <w:tcW w:w="5040" w:type="dxa"/>
            <w:tcBorders>
              <w:bottom w:val="single" w:sz="12" w:space="0" w:color="auto"/>
            </w:tcBorders>
          </w:tcPr>
          <w:p w:rsidR="00393805" w:rsidRPr="001301F3" w:rsidRDefault="00393805" w:rsidP="007719D5">
            <w:pPr>
              <w:rPr>
                <w:rFonts w:asciiTheme="majorBidi" w:hAnsiTheme="majorBidi" w:cstheme="majorBidi"/>
                <w:sz w:val="22"/>
                <w:szCs w:val="22"/>
              </w:rPr>
            </w:pPr>
            <w:r w:rsidRPr="001301F3">
              <w:rPr>
                <w:rFonts w:asciiTheme="majorBidi" w:hAnsiTheme="majorBidi" w:cstheme="majorBidi"/>
                <w:sz w:val="22"/>
                <w:szCs w:val="22"/>
              </w:rPr>
              <w:t xml:space="preserve">Soil has been severely contaminated </w:t>
            </w:r>
          </w:p>
        </w:tc>
      </w:tr>
    </w:tbl>
    <w:p w:rsidR="006C4A67" w:rsidRPr="00C329A3" w:rsidRDefault="006C4A67" w:rsidP="00C329A3">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w:t>
      </w:r>
      <w:r w:rsidR="007C0C0B">
        <w:rPr>
          <w:rFonts w:asciiTheme="majorBidi" w:hAnsiTheme="majorBidi" w:cstheme="majorBidi"/>
          <w:b/>
          <w:bCs/>
          <w:i/>
          <w:iCs/>
          <w:sz w:val="24"/>
          <w:szCs w:val="24"/>
        </w:rPr>
        <w:t>2</w:t>
      </w:r>
      <w:r w:rsidRPr="00C329A3">
        <w:rPr>
          <w:rFonts w:asciiTheme="majorBidi" w:hAnsiTheme="majorBidi" w:cstheme="majorBidi"/>
          <w:b/>
          <w:bCs/>
          <w:i/>
          <w:iCs/>
          <w:sz w:val="24"/>
          <w:szCs w:val="24"/>
        </w:rPr>
        <w:t xml:space="preserve"> Potential Ecological Risk Index (RI):</w:t>
      </w:r>
    </w:p>
    <w:p w:rsidR="00862518" w:rsidRPr="00862518" w:rsidRDefault="00862518" w:rsidP="00862518">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62518">
        <w:rPr>
          <w:rFonts w:asciiTheme="majorBidi" w:hAnsiTheme="majorBidi" w:cstheme="majorBidi"/>
          <w:sz w:val="24"/>
          <w:szCs w:val="24"/>
        </w:rPr>
        <w:t xml:space="preserve">The contaminated soil with heavy metal can enter the human body through several pathways and various exposure approaches (Bade et al., 2013). Elevated levels of toxic heavy metals in agricultural soil can influence food chain, hence lead to increase the exposure of severing dangerous diseases, such as cancer, leukemia, and kidney or liver damage (Khan et al., 2011). Therefore, the assessment of potential ecological risks (RI) is necessary, which developed by (Hakanson, 1980), represent the toxicity of heavy metals and their risks level to the environment, (RI) value is calculated by the following (Hakanson, 1980), </w:t>
      </w:r>
      <w:r w:rsidR="006855AE">
        <w:rPr>
          <w:rFonts w:asciiTheme="majorBidi" w:hAnsiTheme="majorBidi" w:cstheme="majorBidi"/>
          <w:sz w:val="24"/>
          <w:szCs w:val="24"/>
        </w:rPr>
        <w:t xml:space="preserve">see </w:t>
      </w:r>
      <w:r w:rsidRPr="00862518">
        <w:rPr>
          <w:rFonts w:asciiTheme="majorBidi" w:hAnsiTheme="majorBidi" w:cstheme="majorBidi"/>
          <w:sz w:val="24"/>
          <w:szCs w:val="24"/>
        </w:rPr>
        <w:t xml:space="preserve">(Table </w:t>
      </w:r>
      <w:r w:rsidR="006855AE">
        <w:rPr>
          <w:rFonts w:asciiTheme="majorBidi" w:hAnsiTheme="majorBidi" w:cstheme="majorBidi"/>
          <w:sz w:val="24"/>
          <w:szCs w:val="24"/>
        </w:rPr>
        <w:t>2</w:t>
      </w:r>
      <w:r w:rsidRPr="00862518">
        <w:rPr>
          <w:rFonts w:asciiTheme="majorBidi" w:hAnsiTheme="majorBidi" w:cstheme="majorBidi"/>
          <w:sz w:val="24"/>
          <w:szCs w:val="24"/>
        </w:rPr>
        <w:t>):</w:t>
      </w:r>
    </w:p>
    <w:p w:rsidR="00862518" w:rsidRPr="00862518" w:rsidRDefault="00862518" w:rsidP="00862518">
      <w:pPr>
        <w:spacing w:line="240" w:lineRule="auto"/>
        <w:jc w:val="both"/>
        <w:rPr>
          <w:rFonts w:asciiTheme="majorBidi" w:hAnsiTheme="majorBidi" w:cstheme="majorBidi"/>
          <w:sz w:val="24"/>
          <w:szCs w:val="24"/>
        </w:rPr>
      </w:pPr>
      <w:r w:rsidRPr="00862518">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862518">
        <w:rPr>
          <w:rFonts w:asciiTheme="majorBidi" w:hAnsiTheme="majorBidi" w:cstheme="majorBidi"/>
          <w:sz w:val="24"/>
          <w:szCs w:val="24"/>
        </w:rPr>
        <w:t xml:space="preserve">    </w:t>
      </w:r>
      <m:oMath>
        <m:r>
          <w:rPr>
            <w:rFonts w:ascii="Cambria Math" w:hAnsi="Cambria Math" w:cstheme="majorBidi"/>
            <w:sz w:val="24"/>
            <w:szCs w:val="24"/>
          </w:rPr>
          <m:t>RI=</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r>
                  <w:rPr>
                    <w:rFonts w:ascii="Cambria Math" w:hAnsi="Cambria Math" w:cstheme="majorBidi"/>
                    <w:sz w:val="24"/>
                    <w:szCs w:val="24"/>
                  </w:rPr>
                  <m:t>)</m:t>
                </m:r>
              </m:num>
              <m:den>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i</m:t>
                    </m:r>
                  </m:sub>
                </m:sSub>
              </m:den>
            </m:f>
          </m:e>
        </m:nary>
      </m:oMath>
      <w:r w:rsidRPr="00862518">
        <w:rPr>
          <w:rFonts w:asciiTheme="majorBidi" w:hAnsiTheme="majorBidi" w:cstheme="majorBidi"/>
          <w:sz w:val="24"/>
          <w:szCs w:val="24"/>
        </w:rPr>
        <w:t xml:space="preserve">                           </w:t>
      </w:r>
      <w:r w:rsidR="00E80D26">
        <w:rPr>
          <w:rFonts w:asciiTheme="majorBidi" w:hAnsiTheme="majorBidi" w:cstheme="majorBidi"/>
          <w:sz w:val="24"/>
          <w:szCs w:val="24"/>
        </w:rPr>
        <w:t xml:space="preserve">     </w:t>
      </w:r>
      <w:r w:rsidRPr="00862518">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862518">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862518">
        <w:rPr>
          <w:rFonts w:asciiTheme="majorBidi" w:hAnsiTheme="majorBidi" w:cstheme="majorBidi"/>
          <w:sz w:val="24"/>
          <w:szCs w:val="24"/>
        </w:rPr>
        <w:t xml:space="preserve">    (</w:t>
      </w:r>
      <w:r w:rsidR="006855AE">
        <w:rPr>
          <w:rFonts w:asciiTheme="majorBidi" w:hAnsiTheme="majorBidi" w:cstheme="majorBidi"/>
          <w:sz w:val="24"/>
          <w:szCs w:val="24"/>
        </w:rPr>
        <w:t>3</w:t>
      </w:r>
      <w:r w:rsidRPr="00862518">
        <w:rPr>
          <w:rFonts w:asciiTheme="majorBidi" w:hAnsiTheme="majorBidi" w:cstheme="majorBidi"/>
          <w:sz w:val="24"/>
          <w:szCs w:val="24"/>
        </w:rPr>
        <w:t>)</w:t>
      </w:r>
    </w:p>
    <w:p w:rsidR="00862518" w:rsidRPr="00862518" w:rsidRDefault="00862518" w:rsidP="00862518">
      <w:pPr>
        <w:spacing w:line="240" w:lineRule="auto"/>
        <w:jc w:val="both"/>
        <w:rPr>
          <w:rFonts w:asciiTheme="majorBidi" w:hAnsiTheme="majorBidi" w:cstheme="majorBidi"/>
          <w:sz w:val="24"/>
          <w:szCs w:val="24"/>
        </w:rPr>
      </w:pPr>
      <w:r w:rsidRPr="00862518">
        <w:rPr>
          <w:rFonts w:asciiTheme="majorBidi" w:hAnsiTheme="majorBidi" w:cstheme="majorBidi"/>
          <w:sz w:val="24"/>
          <w:szCs w:val="24"/>
        </w:rPr>
        <w:t xml:space="preserve">     Where: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i</m:t>
            </m:r>
          </m:sub>
        </m:sSub>
      </m:oMath>
      <w:r w:rsidRPr="00862518">
        <w:rPr>
          <w:rFonts w:asciiTheme="majorBidi" w:hAnsiTheme="majorBidi" w:cstheme="majorBidi"/>
          <w:sz w:val="24"/>
          <w:szCs w:val="24"/>
        </w:rPr>
        <w:t xml:space="preserve"> is Toxicity factor of heavy metals are (Cd= 30, As = 10, Pb = 5, Cu = 5, Cr = 2,</w:t>
      </w:r>
      <w:r w:rsidR="00DE511A">
        <w:rPr>
          <w:rFonts w:asciiTheme="majorBidi" w:hAnsiTheme="majorBidi" w:cstheme="majorBidi"/>
          <w:sz w:val="24"/>
          <w:szCs w:val="24"/>
        </w:rPr>
        <w:t xml:space="preserve">    </w:t>
      </w:r>
      <w:r w:rsidRPr="00862518">
        <w:rPr>
          <w:rFonts w:asciiTheme="majorBidi" w:hAnsiTheme="majorBidi" w:cstheme="majorBidi"/>
          <w:sz w:val="24"/>
          <w:szCs w:val="24"/>
        </w:rPr>
        <w:t xml:space="preserve"> Zn = 1, Ni = 5), (</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num>
          <m:den>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i</m:t>
                </m:r>
              </m:sub>
            </m:sSub>
          </m:den>
        </m:f>
      </m:oMath>
      <w:r w:rsidRPr="00862518">
        <w:rPr>
          <w:rFonts w:asciiTheme="majorBidi" w:hAnsiTheme="majorBidi" w:cstheme="majorBidi"/>
          <w:sz w:val="24"/>
          <w:szCs w:val="24"/>
        </w:rPr>
        <w:t xml:space="preserve"> ) is Contamination factor. </w:t>
      </w:r>
    </w:p>
    <w:p w:rsidR="00E966A3" w:rsidRPr="00321CBC" w:rsidRDefault="00183BF3" w:rsidP="00C329A3">
      <w:pPr>
        <w:spacing w:line="240" w:lineRule="auto"/>
        <w:jc w:val="both"/>
        <w:rPr>
          <w:rFonts w:asciiTheme="majorBidi" w:hAnsiTheme="majorBidi" w:cstheme="majorBidi"/>
          <w:sz w:val="22"/>
          <w:szCs w:val="22"/>
        </w:rPr>
      </w:pPr>
      <w:r w:rsidRPr="00C329A3">
        <w:rPr>
          <w:rFonts w:asciiTheme="majorBidi" w:hAnsiTheme="majorBidi" w:cstheme="majorBidi"/>
          <w:b/>
          <w:bCs/>
          <w:sz w:val="24"/>
          <w:szCs w:val="24"/>
        </w:rPr>
        <w:t xml:space="preserve">           </w:t>
      </w:r>
      <w:r w:rsidR="00321CBC">
        <w:rPr>
          <w:rFonts w:asciiTheme="majorBidi" w:hAnsiTheme="majorBidi" w:cstheme="majorBidi"/>
          <w:b/>
          <w:bCs/>
          <w:sz w:val="24"/>
          <w:szCs w:val="24"/>
        </w:rPr>
        <w:t xml:space="preserve"> </w:t>
      </w:r>
      <w:r w:rsidRPr="00C329A3">
        <w:rPr>
          <w:rFonts w:asciiTheme="majorBidi" w:hAnsiTheme="majorBidi" w:cstheme="majorBidi"/>
          <w:b/>
          <w:bCs/>
          <w:sz w:val="24"/>
          <w:szCs w:val="24"/>
        </w:rPr>
        <w:t xml:space="preserve">  </w:t>
      </w:r>
      <w:r w:rsidR="001301F3">
        <w:rPr>
          <w:rFonts w:asciiTheme="majorBidi" w:hAnsiTheme="majorBidi" w:cstheme="majorBidi"/>
          <w:b/>
          <w:bCs/>
          <w:sz w:val="24"/>
          <w:szCs w:val="24"/>
        </w:rPr>
        <w:t xml:space="preserve">   </w:t>
      </w:r>
      <w:r w:rsidRPr="00C329A3">
        <w:rPr>
          <w:rFonts w:asciiTheme="majorBidi" w:hAnsiTheme="majorBidi" w:cstheme="majorBidi"/>
          <w:b/>
          <w:bCs/>
          <w:sz w:val="24"/>
          <w:szCs w:val="24"/>
        </w:rPr>
        <w:t xml:space="preserve"> </w:t>
      </w:r>
      <w:r w:rsidRPr="00321CBC">
        <w:rPr>
          <w:rFonts w:asciiTheme="majorBidi" w:hAnsiTheme="majorBidi" w:cstheme="majorBidi"/>
          <w:b/>
          <w:bCs/>
          <w:sz w:val="22"/>
          <w:szCs w:val="22"/>
        </w:rPr>
        <w:t xml:space="preserve">Table </w:t>
      </w:r>
      <w:r w:rsidR="00393805">
        <w:rPr>
          <w:rFonts w:asciiTheme="majorBidi" w:hAnsiTheme="majorBidi" w:cstheme="majorBidi"/>
          <w:b/>
          <w:bCs/>
          <w:sz w:val="22"/>
          <w:szCs w:val="22"/>
        </w:rPr>
        <w:t>2</w:t>
      </w:r>
      <w:r w:rsidR="00E966A3" w:rsidRPr="00321CBC">
        <w:rPr>
          <w:rFonts w:asciiTheme="majorBidi" w:hAnsiTheme="majorBidi" w:cstheme="majorBidi"/>
          <w:b/>
          <w:bCs/>
          <w:sz w:val="22"/>
          <w:szCs w:val="22"/>
        </w:rPr>
        <w:t xml:space="preserve"> </w:t>
      </w:r>
      <w:r w:rsidR="00E966A3" w:rsidRPr="00321CBC">
        <w:rPr>
          <w:rFonts w:asciiTheme="majorBidi" w:hAnsiTheme="majorBidi" w:cstheme="majorBidi"/>
          <w:sz w:val="22"/>
          <w:szCs w:val="22"/>
        </w:rPr>
        <w:t>Potential Ecological Risk Index (</w:t>
      </w:r>
      <m:oMath>
        <m:r>
          <w:rPr>
            <w:rFonts w:ascii="Cambria Math" w:hAnsi="Cambria Math" w:cstheme="majorBidi"/>
            <w:sz w:val="22"/>
            <w:szCs w:val="22"/>
          </w:rPr>
          <m:t>RI</m:t>
        </m:r>
      </m:oMath>
      <w:r w:rsidR="00E966A3" w:rsidRPr="00321CBC">
        <w:rPr>
          <w:rFonts w:asciiTheme="majorBidi" w:hAnsiTheme="majorBidi" w:cstheme="majorBidi"/>
          <w:sz w:val="22"/>
          <w:szCs w:val="22"/>
        </w:rPr>
        <w:t xml:space="preserve">) and Level of Risk (Hakanson, 1980). </w:t>
      </w: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00"/>
        <w:gridCol w:w="4395"/>
      </w:tblGrid>
      <w:tr w:rsidR="00E966A3" w:rsidRPr="001301F3" w:rsidTr="000E4C9C">
        <w:trPr>
          <w:trHeight w:val="144"/>
          <w:jc w:val="center"/>
        </w:trPr>
        <w:tc>
          <w:tcPr>
            <w:tcW w:w="2700" w:type="dxa"/>
            <w:tcBorders>
              <w:top w:val="single" w:sz="12" w:space="0" w:color="auto"/>
              <w:bottom w:val="single" w:sz="12" w:space="0" w:color="auto"/>
            </w:tcBorders>
            <w:shd w:val="clear" w:color="auto" w:fill="C00000"/>
          </w:tcPr>
          <w:p w:rsidR="00E966A3" w:rsidRPr="001301F3" w:rsidRDefault="00E966A3" w:rsidP="00C329A3">
            <w:pPr>
              <w:rPr>
                <w:rFonts w:asciiTheme="majorBidi" w:hAnsiTheme="majorBidi" w:cstheme="majorBidi"/>
                <w:sz w:val="22"/>
                <w:szCs w:val="22"/>
              </w:rPr>
            </w:pPr>
            <m:oMath>
              <m:r>
                <w:rPr>
                  <w:rFonts w:ascii="Cambria Math" w:hAnsi="Cambria Math" w:cstheme="majorBidi"/>
                  <w:sz w:val="22"/>
                  <w:szCs w:val="22"/>
                </w:rPr>
                <m:t>RI</m:t>
              </m:r>
            </m:oMath>
            <w:r w:rsidRPr="001301F3">
              <w:rPr>
                <w:rFonts w:asciiTheme="majorBidi" w:hAnsiTheme="majorBidi" w:cstheme="majorBidi"/>
                <w:sz w:val="22"/>
                <w:szCs w:val="22"/>
              </w:rPr>
              <w:t xml:space="preserve"> value</w:t>
            </w:r>
          </w:p>
        </w:tc>
        <w:tc>
          <w:tcPr>
            <w:tcW w:w="4395" w:type="dxa"/>
            <w:tcBorders>
              <w:top w:val="single" w:sz="12" w:space="0" w:color="auto"/>
              <w:bottom w:val="single" w:sz="12" w:space="0" w:color="auto"/>
            </w:tcBorders>
            <w:shd w:val="clear" w:color="auto" w:fill="C00000"/>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Risk Level</w:t>
            </w:r>
          </w:p>
        </w:tc>
      </w:tr>
      <w:tr w:rsidR="00E966A3" w:rsidRPr="001301F3" w:rsidTr="001301F3">
        <w:trPr>
          <w:trHeight w:val="144"/>
          <w:jc w:val="center"/>
        </w:trPr>
        <w:tc>
          <w:tcPr>
            <w:tcW w:w="2700" w:type="dxa"/>
            <w:tcBorders>
              <w:top w:val="single" w:sz="12" w:space="0" w:color="auto"/>
            </w:tcBorders>
          </w:tcPr>
          <w:p w:rsidR="00E966A3" w:rsidRPr="001301F3" w:rsidRDefault="00E966A3" w:rsidP="00C329A3">
            <w:pPr>
              <w:rPr>
                <w:rFonts w:asciiTheme="majorBidi" w:hAnsiTheme="majorBidi" w:cstheme="majorBidi"/>
                <w:sz w:val="22"/>
                <w:szCs w:val="22"/>
              </w:rPr>
            </w:pPr>
            <m:oMath>
              <m:r>
                <w:rPr>
                  <w:rFonts w:ascii="Cambria Math" w:hAnsi="Cambria Math" w:cstheme="majorBidi"/>
                  <w:sz w:val="22"/>
                  <w:szCs w:val="22"/>
                </w:rPr>
                <m:t>RI</m:t>
              </m:r>
            </m:oMath>
            <w:r w:rsidRPr="001301F3">
              <w:rPr>
                <w:rFonts w:asciiTheme="majorBidi" w:hAnsiTheme="majorBidi" w:cstheme="majorBidi"/>
                <w:sz w:val="22"/>
                <w:szCs w:val="22"/>
              </w:rPr>
              <w:t xml:space="preserve"> ≤ 50</w:t>
            </w:r>
          </w:p>
        </w:tc>
        <w:tc>
          <w:tcPr>
            <w:tcW w:w="4395" w:type="dxa"/>
            <w:tcBorders>
              <w:top w:val="single" w:sz="12" w:space="0" w:color="auto"/>
            </w:tcBorders>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Low risk</w:t>
            </w:r>
          </w:p>
        </w:tc>
      </w:tr>
      <w:tr w:rsidR="00E966A3" w:rsidRPr="001301F3" w:rsidTr="001301F3">
        <w:trPr>
          <w:trHeight w:val="144"/>
          <w:jc w:val="center"/>
        </w:trPr>
        <w:tc>
          <w:tcPr>
            <w:tcW w:w="2700"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 xml:space="preserve">50 &lt; </w:t>
            </w:r>
            <m:oMath>
              <m:r>
                <w:rPr>
                  <w:rFonts w:ascii="Cambria Math" w:hAnsi="Cambria Math" w:cstheme="majorBidi"/>
                  <w:sz w:val="22"/>
                  <w:szCs w:val="22"/>
                </w:rPr>
                <m:t>RI</m:t>
              </m:r>
            </m:oMath>
            <w:r w:rsidRPr="001301F3">
              <w:rPr>
                <w:rFonts w:asciiTheme="majorBidi" w:hAnsiTheme="majorBidi" w:cstheme="majorBidi"/>
                <w:sz w:val="22"/>
                <w:szCs w:val="22"/>
              </w:rPr>
              <w:t xml:space="preserve"> ≤ 100</w:t>
            </w:r>
          </w:p>
        </w:tc>
        <w:tc>
          <w:tcPr>
            <w:tcW w:w="4395"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Moderate risk</w:t>
            </w:r>
          </w:p>
        </w:tc>
      </w:tr>
      <w:tr w:rsidR="00E966A3" w:rsidRPr="001301F3" w:rsidTr="001301F3">
        <w:trPr>
          <w:trHeight w:val="144"/>
          <w:jc w:val="center"/>
        </w:trPr>
        <w:tc>
          <w:tcPr>
            <w:tcW w:w="2700"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 xml:space="preserve">100 &lt; </w:t>
            </w:r>
            <m:oMath>
              <m:r>
                <w:rPr>
                  <w:rFonts w:ascii="Cambria Math" w:hAnsi="Cambria Math" w:cstheme="majorBidi"/>
                  <w:sz w:val="22"/>
                  <w:szCs w:val="22"/>
                </w:rPr>
                <m:t>RI</m:t>
              </m:r>
            </m:oMath>
            <w:r w:rsidRPr="001301F3">
              <w:rPr>
                <w:rFonts w:asciiTheme="majorBidi" w:hAnsiTheme="majorBidi" w:cstheme="majorBidi"/>
                <w:sz w:val="22"/>
                <w:szCs w:val="22"/>
              </w:rPr>
              <w:t xml:space="preserve"> ≤ 150</w:t>
            </w:r>
          </w:p>
        </w:tc>
        <w:tc>
          <w:tcPr>
            <w:tcW w:w="4395"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High risk</w:t>
            </w:r>
          </w:p>
        </w:tc>
      </w:tr>
      <w:tr w:rsidR="00E966A3" w:rsidRPr="001301F3" w:rsidTr="001301F3">
        <w:trPr>
          <w:trHeight w:val="144"/>
          <w:jc w:val="center"/>
        </w:trPr>
        <w:tc>
          <w:tcPr>
            <w:tcW w:w="2700"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 xml:space="preserve">150 &lt; </w:t>
            </w:r>
            <m:oMath>
              <m:r>
                <w:rPr>
                  <w:rFonts w:ascii="Cambria Math" w:hAnsi="Cambria Math" w:cstheme="majorBidi"/>
                  <w:sz w:val="22"/>
                  <w:szCs w:val="22"/>
                </w:rPr>
                <m:t>RI</m:t>
              </m:r>
            </m:oMath>
            <w:r w:rsidRPr="001301F3">
              <w:rPr>
                <w:rFonts w:asciiTheme="majorBidi" w:hAnsiTheme="majorBidi" w:cstheme="majorBidi"/>
                <w:sz w:val="22"/>
                <w:szCs w:val="22"/>
              </w:rPr>
              <w:t xml:space="preserve"> ≤ 200</w:t>
            </w:r>
          </w:p>
        </w:tc>
        <w:tc>
          <w:tcPr>
            <w:tcW w:w="4395"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Very high risk</w:t>
            </w:r>
          </w:p>
        </w:tc>
      </w:tr>
      <w:tr w:rsidR="00E966A3" w:rsidRPr="001301F3" w:rsidTr="001301F3">
        <w:trPr>
          <w:trHeight w:val="144"/>
          <w:jc w:val="center"/>
        </w:trPr>
        <w:tc>
          <w:tcPr>
            <w:tcW w:w="2700"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 xml:space="preserve">200 &lt; </w:t>
            </w:r>
            <m:oMath>
              <m:r>
                <w:rPr>
                  <w:rFonts w:ascii="Cambria Math" w:hAnsi="Cambria Math" w:cstheme="majorBidi"/>
                  <w:sz w:val="22"/>
                  <w:szCs w:val="22"/>
                </w:rPr>
                <m:t>RI</m:t>
              </m:r>
            </m:oMath>
          </w:p>
        </w:tc>
        <w:tc>
          <w:tcPr>
            <w:tcW w:w="4395" w:type="dxa"/>
          </w:tcPr>
          <w:p w:rsidR="00E966A3" w:rsidRPr="001301F3" w:rsidRDefault="00E966A3" w:rsidP="00C329A3">
            <w:pPr>
              <w:rPr>
                <w:rFonts w:asciiTheme="majorBidi" w:hAnsiTheme="majorBidi" w:cstheme="majorBidi"/>
                <w:sz w:val="22"/>
                <w:szCs w:val="22"/>
              </w:rPr>
            </w:pPr>
            <w:r w:rsidRPr="001301F3">
              <w:rPr>
                <w:rFonts w:asciiTheme="majorBidi" w:hAnsiTheme="majorBidi" w:cstheme="majorBidi"/>
                <w:sz w:val="22"/>
                <w:szCs w:val="22"/>
              </w:rPr>
              <w:t>Extreme risk</w:t>
            </w:r>
          </w:p>
        </w:tc>
      </w:tr>
    </w:tbl>
    <w:p w:rsidR="008C6A5B" w:rsidRDefault="008C6A5B" w:rsidP="00C329A3">
      <w:pPr>
        <w:spacing w:line="240" w:lineRule="auto"/>
        <w:rPr>
          <w:rFonts w:asciiTheme="majorBidi" w:hAnsiTheme="majorBidi" w:cstheme="majorBidi"/>
          <w:sz w:val="24"/>
          <w:szCs w:val="24"/>
        </w:rPr>
      </w:pPr>
    </w:p>
    <w:p w:rsidR="008C6A5B" w:rsidRDefault="008C6A5B" w:rsidP="00C329A3">
      <w:pPr>
        <w:spacing w:line="240" w:lineRule="auto"/>
        <w:rPr>
          <w:rFonts w:asciiTheme="majorBidi" w:hAnsiTheme="majorBidi" w:cstheme="majorBidi"/>
          <w:b/>
          <w:bCs/>
          <w:i/>
          <w:iCs/>
          <w:sz w:val="24"/>
          <w:szCs w:val="24"/>
        </w:rPr>
      </w:pPr>
    </w:p>
    <w:p w:rsidR="00D86613" w:rsidRPr="00C329A3" w:rsidRDefault="00D86613" w:rsidP="00C329A3">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w:t>
      </w:r>
      <w:r w:rsidR="007C0C0B">
        <w:rPr>
          <w:rFonts w:asciiTheme="majorBidi" w:hAnsiTheme="majorBidi" w:cstheme="majorBidi"/>
          <w:b/>
          <w:bCs/>
          <w:i/>
          <w:iCs/>
          <w:sz w:val="24"/>
          <w:szCs w:val="24"/>
        </w:rPr>
        <w:t>3</w:t>
      </w:r>
      <w:r w:rsidRPr="00C329A3">
        <w:rPr>
          <w:rFonts w:asciiTheme="majorBidi" w:hAnsiTheme="majorBidi" w:cstheme="majorBidi"/>
          <w:b/>
          <w:bCs/>
          <w:i/>
          <w:iCs/>
          <w:sz w:val="24"/>
          <w:szCs w:val="24"/>
        </w:rPr>
        <w:t xml:space="preserve"> </w:t>
      </w:r>
      <w:r w:rsidR="00485226" w:rsidRPr="00C329A3">
        <w:rPr>
          <w:rFonts w:asciiTheme="majorBidi" w:hAnsiTheme="majorBidi" w:cstheme="majorBidi"/>
          <w:b/>
          <w:bCs/>
          <w:i/>
          <w:iCs/>
          <w:sz w:val="24"/>
          <w:szCs w:val="24"/>
        </w:rPr>
        <w:t>Health Risk Assessment:</w:t>
      </w:r>
    </w:p>
    <w:p w:rsidR="009E34B0" w:rsidRDefault="009E34B0" w:rsidP="009E34B0">
      <w:pPr>
        <w:spacing w:line="240" w:lineRule="auto"/>
        <w:jc w:val="both"/>
        <w:rPr>
          <w:rFonts w:asciiTheme="majorBidi" w:hAnsiTheme="majorBidi" w:cstheme="majorBidi"/>
          <w:sz w:val="24"/>
          <w:szCs w:val="24"/>
        </w:rPr>
      </w:pPr>
      <w:r w:rsidRPr="009E34B0">
        <w:rPr>
          <w:rFonts w:asciiTheme="majorBidi" w:hAnsiTheme="majorBidi" w:cstheme="majorBidi"/>
          <w:sz w:val="24"/>
          <w:szCs w:val="24"/>
        </w:rPr>
        <w:t xml:space="preserve">     Health risk assessment was employed to estimate the adverse health effects of exposure to the carcinogenic and non-carcinogenic heavy metals on the human health (</w:t>
      </w:r>
      <w:bookmarkStart w:id="9" w:name="_Hlk480225340"/>
      <w:r w:rsidRPr="009E34B0">
        <w:rPr>
          <w:rFonts w:asciiTheme="majorBidi" w:hAnsiTheme="majorBidi" w:cstheme="majorBidi"/>
          <w:sz w:val="24"/>
          <w:szCs w:val="24"/>
        </w:rPr>
        <w:t>U.S. EPA, 2001</w:t>
      </w:r>
      <w:bookmarkEnd w:id="9"/>
      <w:r w:rsidRPr="009E34B0">
        <w:rPr>
          <w:rFonts w:asciiTheme="majorBidi" w:hAnsiTheme="majorBidi" w:cstheme="majorBidi"/>
          <w:sz w:val="24"/>
          <w:szCs w:val="24"/>
        </w:rPr>
        <w:t>). The risk assessment consisted of four basic steps (U.S. EPA, 2001; NRC., 1983): hazard identification, exposure assessment, toxicity (dose-response) assessment, and risk characterization.</w:t>
      </w:r>
    </w:p>
    <w:p w:rsidR="008C6A5B" w:rsidRDefault="008C6A5B" w:rsidP="009E34B0">
      <w:pPr>
        <w:spacing w:line="240" w:lineRule="auto"/>
        <w:jc w:val="both"/>
        <w:rPr>
          <w:rFonts w:asciiTheme="majorBidi" w:hAnsiTheme="majorBidi" w:cstheme="majorBidi"/>
          <w:sz w:val="24"/>
          <w:szCs w:val="24"/>
        </w:rPr>
      </w:pPr>
    </w:p>
    <w:p w:rsidR="00194C57" w:rsidRPr="00C329A3" w:rsidRDefault="00194C57" w:rsidP="001447C1">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w:t>
      </w:r>
      <w:r w:rsidR="007C0C0B">
        <w:rPr>
          <w:rFonts w:asciiTheme="majorBidi" w:hAnsiTheme="majorBidi" w:cstheme="majorBidi"/>
          <w:b/>
          <w:bCs/>
          <w:i/>
          <w:iCs/>
          <w:sz w:val="24"/>
          <w:szCs w:val="24"/>
        </w:rPr>
        <w:t>3</w:t>
      </w:r>
      <w:r w:rsidRPr="00C329A3">
        <w:rPr>
          <w:rFonts w:asciiTheme="majorBidi" w:hAnsiTheme="majorBidi" w:cstheme="majorBidi"/>
          <w:b/>
          <w:bCs/>
          <w:i/>
          <w:iCs/>
          <w:sz w:val="24"/>
          <w:szCs w:val="24"/>
        </w:rPr>
        <w:t xml:space="preserve">.1 </w:t>
      </w:r>
      <w:r w:rsidR="00664DB3">
        <w:rPr>
          <w:rFonts w:asciiTheme="majorBidi" w:hAnsiTheme="majorBidi" w:cstheme="majorBidi"/>
          <w:b/>
          <w:bCs/>
          <w:i/>
          <w:iCs/>
          <w:sz w:val="24"/>
          <w:szCs w:val="24"/>
        </w:rPr>
        <w:t>Chronic</w:t>
      </w:r>
      <w:r w:rsidRPr="00C329A3">
        <w:rPr>
          <w:rFonts w:asciiTheme="majorBidi" w:hAnsiTheme="majorBidi" w:cstheme="majorBidi"/>
          <w:b/>
          <w:bCs/>
          <w:i/>
          <w:iCs/>
          <w:sz w:val="24"/>
          <w:szCs w:val="24"/>
        </w:rPr>
        <w:t xml:space="preserve"> Daily Intake (</w:t>
      </w:r>
      <w:r w:rsidR="00F36F01">
        <w:rPr>
          <w:rFonts w:asciiTheme="majorBidi" w:hAnsiTheme="majorBidi" w:cstheme="majorBidi"/>
          <w:b/>
          <w:bCs/>
          <w:i/>
          <w:iCs/>
          <w:sz w:val="24"/>
          <w:szCs w:val="24"/>
        </w:rPr>
        <w:t>C</w:t>
      </w:r>
      <w:r w:rsidRPr="00C329A3">
        <w:rPr>
          <w:rFonts w:asciiTheme="majorBidi" w:hAnsiTheme="majorBidi" w:cstheme="majorBidi"/>
          <w:b/>
          <w:bCs/>
          <w:i/>
          <w:iCs/>
          <w:sz w:val="24"/>
          <w:szCs w:val="24"/>
        </w:rPr>
        <w:t>DI):</w:t>
      </w:r>
    </w:p>
    <w:p w:rsidR="00012029" w:rsidRDefault="002F46C3" w:rsidP="00BE69CF">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The human can expose to heavy metals in soil through three pathways are </w:t>
      </w:r>
      <w:r w:rsidR="008328A3" w:rsidRPr="002F46C3">
        <w:rPr>
          <w:rFonts w:asciiTheme="majorBidi" w:hAnsiTheme="majorBidi" w:cstheme="majorBidi"/>
          <w:sz w:val="24"/>
          <w:szCs w:val="24"/>
        </w:rPr>
        <w:t>(U.S. EPA, 1989)</w:t>
      </w:r>
      <w:r w:rsidRPr="002F46C3">
        <w:rPr>
          <w:rFonts w:asciiTheme="majorBidi" w:hAnsiTheme="majorBidi" w:cstheme="majorBidi"/>
          <w:sz w:val="24"/>
          <w:szCs w:val="24"/>
        </w:rPr>
        <w:t>: 1) Ingestion of soil 2) Dermal absorption of heavy metals 3) Inhalation of heavy metals that emitted with soil particles. The Chronic Daily Intake (</w:t>
      </w:r>
      <w:r w:rsidRPr="00F33EE8">
        <w:rPr>
          <w:rFonts w:asciiTheme="majorBidi" w:hAnsiTheme="majorBidi" w:cstheme="majorBidi"/>
          <w:i/>
          <w:iCs/>
          <w:sz w:val="24"/>
          <w:szCs w:val="24"/>
        </w:rPr>
        <w:t>CDI</w:t>
      </w:r>
      <w:r w:rsidRPr="002F46C3">
        <w:rPr>
          <w:rFonts w:asciiTheme="majorBidi" w:hAnsiTheme="majorBidi" w:cstheme="majorBidi"/>
          <w:sz w:val="24"/>
          <w:szCs w:val="24"/>
        </w:rPr>
        <w:t xml:space="preserve">) of heavy metals in the soil of study area by three pathways was calculated by using the following equations (U.S. EPA, 1989), </w:t>
      </w:r>
      <w:r w:rsidR="006855AE">
        <w:rPr>
          <w:rFonts w:asciiTheme="majorBidi" w:hAnsiTheme="majorBidi" w:cstheme="majorBidi"/>
          <w:sz w:val="24"/>
          <w:szCs w:val="24"/>
        </w:rPr>
        <w:t xml:space="preserve">see </w:t>
      </w:r>
      <w:r w:rsidRPr="002F46C3">
        <w:rPr>
          <w:rFonts w:asciiTheme="majorBidi" w:hAnsiTheme="majorBidi" w:cstheme="majorBidi"/>
          <w:sz w:val="24"/>
          <w:szCs w:val="24"/>
        </w:rPr>
        <w:t xml:space="preserve">(Table </w:t>
      </w:r>
      <w:r w:rsidR="006855AE">
        <w:rPr>
          <w:rFonts w:asciiTheme="majorBidi" w:hAnsiTheme="majorBidi" w:cstheme="majorBidi"/>
          <w:sz w:val="24"/>
          <w:szCs w:val="24"/>
        </w:rPr>
        <w:t>3</w:t>
      </w:r>
      <w:r w:rsidRPr="002F46C3">
        <w:rPr>
          <w:rFonts w:asciiTheme="majorBidi" w:hAnsiTheme="majorBidi" w:cstheme="majorBidi"/>
          <w:sz w:val="24"/>
          <w:szCs w:val="24"/>
        </w:rPr>
        <w:t>):</w:t>
      </w:r>
    </w:p>
    <w:p w:rsidR="008C6A5B" w:rsidRDefault="008C6A5B" w:rsidP="00BE69CF">
      <w:pPr>
        <w:spacing w:line="240" w:lineRule="auto"/>
        <w:jc w:val="both"/>
        <w:rPr>
          <w:rFonts w:asciiTheme="majorBidi" w:hAnsiTheme="majorBidi" w:cstheme="majorBidi"/>
          <w:sz w:val="24"/>
          <w:szCs w:val="24"/>
        </w:rPr>
      </w:pPr>
    </w:p>
    <w:p w:rsidR="002F46C3" w:rsidRPr="002F46C3" w:rsidRDefault="002F46C3" w:rsidP="00BE69CF">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For non-carcinogenic:</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ing-nc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*IngR*EF*ED*CF</m:t>
            </m:r>
          </m:num>
          <m:den>
            <m:r>
              <w:rPr>
                <w:rFonts w:ascii="Cambria Math" w:hAnsi="Cambria Math" w:cstheme="majorBidi"/>
                <w:sz w:val="24"/>
                <w:szCs w:val="24"/>
              </w:rPr>
              <m:t>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nc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4</w:t>
      </w:r>
      <w:r w:rsidRPr="002F46C3">
        <w:rPr>
          <w:rFonts w:asciiTheme="majorBidi" w:hAnsiTheme="majorBidi" w:cstheme="majorBidi"/>
          <w:sz w:val="24"/>
          <w:szCs w:val="24"/>
        </w:rPr>
        <w: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dermal-nc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*SA*AF*ABS*EF*ED*CF</m:t>
            </m:r>
          </m:num>
          <m:den>
            <m:r>
              <w:rPr>
                <w:rFonts w:ascii="Cambria Math" w:hAnsi="Cambria Math" w:cstheme="majorBidi"/>
                <w:sz w:val="24"/>
                <w:szCs w:val="24"/>
              </w:rPr>
              <m:t>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nc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5</w:t>
      </w:r>
      <w:r w:rsidRPr="002F46C3">
        <w:rPr>
          <w:rFonts w:asciiTheme="majorBidi" w:hAnsiTheme="majorBidi" w:cstheme="majorBidi"/>
          <w:sz w:val="24"/>
          <w:szCs w:val="24"/>
        </w:rPr>
        <w:t>)</w:t>
      </w:r>
    </w:p>
    <w:p w:rsidR="00012029" w:rsidRDefault="002F46C3" w:rsidP="00012029">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inh-nc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*InhR*EF*ED</m:t>
            </m:r>
          </m:num>
          <m:den>
            <m:r>
              <w:rPr>
                <w:rFonts w:ascii="Cambria Math" w:hAnsi="Cambria Math" w:cstheme="majorBidi"/>
                <w:sz w:val="24"/>
                <w:szCs w:val="24"/>
              </w:rPr>
              <m:t>PEF*BW*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nc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6</w:t>
      </w:r>
      <w:r w:rsidRPr="002F46C3">
        <w:rPr>
          <w:rFonts w:asciiTheme="majorBidi" w:hAnsiTheme="majorBidi" w:cstheme="majorBidi"/>
          <w:sz w:val="24"/>
          <w:szCs w:val="24"/>
        </w:rPr>
        <w:t>)</w:t>
      </w:r>
      <w:r w:rsidR="00012029">
        <w:rPr>
          <w:rFonts w:asciiTheme="majorBidi" w:hAnsiTheme="majorBidi" w:cstheme="majorBidi"/>
          <w:sz w:val="24"/>
          <w:szCs w:val="24"/>
        </w:rPr>
        <w:t xml:space="preserve"> </w:t>
      </w:r>
    </w:p>
    <w:p w:rsidR="008C6A5B" w:rsidRDefault="008C6A5B" w:rsidP="00012029">
      <w:pPr>
        <w:spacing w:line="240" w:lineRule="auto"/>
        <w:jc w:val="both"/>
        <w:rPr>
          <w:rFonts w:asciiTheme="majorBidi" w:hAnsiTheme="majorBidi" w:cstheme="majorBidi"/>
          <w:sz w:val="24"/>
          <w:szCs w:val="24"/>
        </w:rPr>
      </w:pPr>
    </w:p>
    <w:p w:rsidR="002F46C3" w:rsidRPr="002F46C3" w:rsidRDefault="002F46C3" w:rsidP="00012029">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For carcinogenic:</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*IngR*EF*ED*CF</m:t>
            </m:r>
          </m:num>
          <m:den>
            <m:r>
              <w:rPr>
                <w:rFonts w:ascii="Cambria Math" w:hAnsi="Cambria Math" w:cstheme="majorBidi"/>
                <w:sz w:val="24"/>
                <w:szCs w:val="24"/>
              </w:rPr>
              <m:t>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7</w:t>
      </w:r>
      <w:r w:rsidRPr="002F46C3">
        <w:rPr>
          <w:rFonts w:asciiTheme="majorBidi" w:hAnsiTheme="majorBidi" w:cstheme="majorBidi"/>
          <w:sz w:val="24"/>
          <w:szCs w:val="24"/>
        </w:rPr>
        <w: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*SA*AF*ABS*EF*ED*CF</m:t>
            </m:r>
          </m:num>
          <m:den>
            <m:r>
              <w:rPr>
                <w:rFonts w:ascii="Cambria Math" w:hAnsi="Cambria Math" w:cstheme="majorBidi"/>
                <w:sz w:val="24"/>
                <w:szCs w:val="24"/>
              </w:rPr>
              <m:t>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8</w:t>
      </w:r>
      <w:r w:rsidRPr="002F46C3">
        <w:rPr>
          <w:rFonts w:asciiTheme="majorBidi" w:hAnsiTheme="majorBidi" w:cstheme="majorBidi"/>
          <w:sz w:val="24"/>
          <w:szCs w:val="24"/>
        </w:rPr>
        <w: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soil</m:t>
                </m:r>
              </m:sub>
            </m:sSub>
            <m:r>
              <w:rPr>
                <w:rFonts w:ascii="Cambria Math" w:hAnsi="Cambria Math" w:cstheme="majorBidi"/>
                <w:sz w:val="24"/>
                <w:szCs w:val="24"/>
              </w:rPr>
              <m:t>*InhR*EF*ED</m:t>
            </m:r>
          </m:num>
          <m:den>
            <m:r>
              <w:rPr>
                <w:rFonts w:ascii="Cambria Math" w:hAnsi="Cambria Math" w:cstheme="majorBidi"/>
                <w:sz w:val="24"/>
                <w:szCs w:val="24"/>
              </w:rPr>
              <m:t>PEF*BW*</m:t>
            </m:r>
            <m:sSub>
              <m:sSubPr>
                <m:ctrlPr>
                  <w:rPr>
                    <w:rFonts w:ascii="Cambria Math" w:hAnsi="Cambria Math" w:cstheme="majorBidi"/>
                    <w:i/>
                    <w:sz w:val="24"/>
                    <w:szCs w:val="24"/>
                  </w:rPr>
                </m:ctrlPr>
              </m:sSubPr>
              <m:e>
                <m:r>
                  <w:rPr>
                    <w:rFonts w:ascii="Cambria Math" w:hAnsi="Cambria Math" w:cstheme="majorBidi"/>
                    <w:sz w:val="24"/>
                    <w:szCs w:val="24"/>
                  </w:rPr>
                  <m:t>AT</m:t>
                </m:r>
              </m:e>
              <m:sub>
                <m:r>
                  <w:rPr>
                    <w:rFonts w:ascii="Cambria Math" w:hAnsi="Cambria Math" w:cstheme="majorBidi"/>
                    <w:sz w:val="24"/>
                    <w:szCs w:val="24"/>
                  </w:rPr>
                  <m:t>c</m:t>
                </m:r>
              </m:sub>
            </m:sSub>
          </m:den>
        </m:f>
      </m:oMath>
      <w:r w:rsidRPr="002F46C3">
        <w:rPr>
          <w:rFonts w:asciiTheme="majorBidi" w:hAnsiTheme="majorBidi" w:cstheme="majorBidi"/>
          <w:sz w:val="24"/>
          <w:szCs w:val="24"/>
        </w:rPr>
        <w:t xml:space="preserve">                                 </w:t>
      </w:r>
      <w:r w:rsidR="006C5AE5">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6855AE">
        <w:rPr>
          <w:rFonts w:asciiTheme="majorBidi" w:hAnsiTheme="majorBidi" w:cstheme="majorBidi"/>
          <w:sz w:val="24"/>
          <w:szCs w:val="24"/>
        </w:rPr>
        <w:t>9</w:t>
      </w:r>
      <w:r w:rsidRPr="002F46C3">
        <w:rPr>
          <w:rFonts w:asciiTheme="majorBidi" w:hAnsiTheme="majorBidi" w:cstheme="majorBidi"/>
          <w:sz w:val="24"/>
          <w:szCs w:val="24"/>
        </w:rPr>
        <w: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Where: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m:t>
            </m:r>
          </m:sub>
        </m:sSub>
      </m:oMath>
      <w:r w:rsidRPr="002F46C3">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m:t>
            </m:r>
          </m:sub>
        </m:sSub>
      </m:oMath>
      <w:r w:rsidRPr="002F46C3">
        <w:rPr>
          <w:rFonts w:asciiTheme="majorBidi" w:hAnsiTheme="majorBidi" w:cstheme="majorBidi"/>
          <w:sz w:val="24"/>
          <w:szCs w:val="24"/>
        </w:rPr>
        <w:t xml:space="preserve"> were the chronic daily intake through ingestion of soil (mg/kg-day), dermal contact with soil particles (mg/kg-day), and inhalation of heavy metals via soil particles (mg/m</w:t>
      </w:r>
      <w:r w:rsidRPr="002F46C3">
        <w:rPr>
          <w:rFonts w:asciiTheme="majorBidi" w:hAnsiTheme="majorBidi" w:cstheme="majorBidi"/>
          <w:sz w:val="24"/>
          <w:szCs w:val="24"/>
          <w:vertAlign w:val="superscript"/>
        </w:rPr>
        <w:t>3</w:t>
      </w:r>
      <w:r w:rsidRPr="002F46C3">
        <w:rPr>
          <w:rFonts w:asciiTheme="majorBidi" w:hAnsiTheme="majorBidi" w:cstheme="majorBidi"/>
          <w:sz w:val="24"/>
          <w:szCs w:val="24"/>
        </w:rPr>
        <w:t xml:space="preserve"> for non-carcinogenic and µg/m</w:t>
      </w:r>
      <w:r w:rsidRPr="002F46C3">
        <w:rPr>
          <w:rFonts w:asciiTheme="majorBidi" w:hAnsiTheme="majorBidi" w:cstheme="majorBidi"/>
          <w:sz w:val="24"/>
          <w:szCs w:val="24"/>
          <w:vertAlign w:val="superscript"/>
        </w:rPr>
        <w:t>3</w:t>
      </w:r>
      <w:r w:rsidRPr="002F46C3">
        <w:rPr>
          <w:rFonts w:asciiTheme="majorBidi" w:hAnsiTheme="majorBidi" w:cstheme="majorBidi"/>
          <w:sz w:val="24"/>
          <w:szCs w:val="24"/>
        </w:rPr>
        <w:t xml:space="preserve"> for carcinogenic), and other parameters are clarified in (Table </w:t>
      </w:r>
      <w:r w:rsidR="00211201">
        <w:rPr>
          <w:rFonts w:asciiTheme="majorBidi" w:hAnsiTheme="majorBidi" w:cstheme="majorBidi"/>
          <w:sz w:val="24"/>
          <w:szCs w:val="24"/>
        </w:rPr>
        <w:t>3</w:t>
      </w:r>
      <w:r w:rsidRPr="002F46C3">
        <w:rPr>
          <w:rFonts w:asciiTheme="majorBidi" w:hAnsiTheme="majorBidi" w:cstheme="majorBidi"/>
          <w:sz w:val="24"/>
          <w:szCs w:val="24"/>
        </w:rPr>
        <w:t>).</w:t>
      </w:r>
    </w:p>
    <w:p w:rsidR="002F46C3" w:rsidRPr="002F46C3" w:rsidRDefault="00C856FA" w:rsidP="00C856FA">
      <w:pPr>
        <w:spacing w:line="240" w:lineRule="auto"/>
        <w:rPr>
          <w:rFonts w:asciiTheme="majorBidi" w:hAnsiTheme="majorBidi" w:cstheme="majorBidi"/>
          <w:sz w:val="22"/>
          <w:szCs w:val="22"/>
        </w:rPr>
      </w:pPr>
      <w:r>
        <w:rPr>
          <w:rFonts w:asciiTheme="majorBidi" w:hAnsiTheme="majorBidi" w:cstheme="majorBidi"/>
          <w:b/>
          <w:bCs/>
          <w:sz w:val="22"/>
          <w:szCs w:val="22"/>
        </w:rPr>
        <w:t xml:space="preserve">                  </w:t>
      </w:r>
      <w:r w:rsidR="002F46C3" w:rsidRPr="002F46C3">
        <w:rPr>
          <w:rFonts w:asciiTheme="majorBidi" w:hAnsiTheme="majorBidi" w:cstheme="majorBidi"/>
          <w:b/>
          <w:bCs/>
          <w:sz w:val="22"/>
          <w:szCs w:val="22"/>
        </w:rPr>
        <w:t xml:space="preserve">Table </w:t>
      </w:r>
      <w:r w:rsidR="00393805">
        <w:rPr>
          <w:rFonts w:asciiTheme="majorBidi" w:hAnsiTheme="majorBidi" w:cstheme="majorBidi"/>
          <w:b/>
          <w:bCs/>
          <w:sz w:val="22"/>
          <w:szCs w:val="22"/>
        </w:rPr>
        <w:t>3</w:t>
      </w:r>
      <w:r w:rsidR="002F46C3" w:rsidRPr="002F46C3">
        <w:rPr>
          <w:rFonts w:asciiTheme="majorBidi" w:hAnsiTheme="majorBidi" w:cstheme="majorBidi"/>
          <w:b/>
          <w:bCs/>
          <w:sz w:val="22"/>
          <w:szCs w:val="22"/>
        </w:rPr>
        <w:t xml:space="preserve"> </w:t>
      </w:r>
      <w:r w:rsidR="002F46C3" w:rsidRPr="002F46C3">
        <w:rPr>
          <w:rFonts w:asciiTheme="majorBidi" w:hAnsiTheme="majorBidi" w:cstheme="majorBidi"/>
          <w:sz w:val="22"/>
          <w:szCs w:val="22"/>
        </w:rPr>
        <w:t xml:space="preserve">Parameters Used for the Health Risk Assessment of Study Area Soil                                       </w:t>
      </w:r>
      <w:r w:rsidR="002F46C3" w:rsidRPr="008C1CBF">
        <w:rPr>
          <w:rFonts w:asciiTheme="majorBidi" w:hAnsiTheme="majorBidi" w:cstheme="majorBidi"/>
          <w:color w:val="FFFFFF" w:themeColor="background1"/>
          <w:sz w:val="22"/>
          <w:szCs w:val="22"/>
        </w:rPr>
        <w:t>.</w:t>
      </w:r>
      <w:r w:rsidR="002F46C3" w:rsidRPr="002F46C3">
        <w:rPr>
          <w:rFonts w:asciiTheme="majorBidi" w:hAnsiTheme="majorBidi" w:cstheme="majorBidi"/>
          <w:sz w:val="22"/>
          <w:szCs w:val="22"/>
        </w:rPr>
        <w:t xml:space="preserve">             </w:t>
      </w:r>
      <w:r>
        <w:rPr>
          <w:rFonts w:asciiTheme="majorBidi" w:hAnsiTheme="majorBidi" w:cstheme="majorBidi"/>
          <w:sz w:val="22"/>
          <w:szCs w:val="22"/>
        </w:rPr>
        <w:t xml:space="preserve">  </w:t>
      </w:r>
      <w:r w:rsidR="002F46C3" w:rsidRPr="002F46C3">
        <w:rPr>
          <w:rFonts w:asciiTheme="majorBidi" w:hAnsiTheme="majorBidi" w:cstheme="majorBidi"/>
          <w:sz w:val="22"/>
          <w:szCs w:val="22"/>
        </w:rPr>
        <w:t xml:space="preserve">  for Adult and Children (U.S. EPA, 2016 and U.S. EPA, 2017). </w:t>
      </w:r>
    </w:p>
    <w:tbl>
      <w:tblPr>
        <w:tblW w:w="72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495"/>
        <w:gridCol w:w="1455"/>
        <w:gridCol w:w="1170"/>
        <w:gridCol w:w="1170"/>
      </w:tblGrid>
      <w:tr w:rsidR="002F46C3" w:rsidRPr="002F46C3" w:rsidTr="000E4C9C">
        <w:trPr>
          <w:trHeight w:val="288"/>
          <w:jc w:val="center"/>
        </w:trPr>
        <w:tc>
          <w:tcPr>
            <w:tcW w:w="3495" w:type="dxa"/>
            <w:tcBorders>
              <w:top w:val="single" w:sz="12" w:space="0" w:color="auto"/>
              <w:bottom w:val="single" w:sz="12" w:space="0" w:color="auto"/>
              <w:right w:val="single" w:sz="12" w:space="0" w:color="auto"/>
            </w:tcBorders>
            <w:shd w:val="clear" w:color="auto" w:fill="C00000"/>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Parameter</w:t>
            </w:r>
          </w:p>
        </w:tc>
        <w:tc>
          <w:tcPr>
            <w:tcW w:w="1455" w:type="dxa"/>
            <w:tcBorders>
              <w:top w:val="single" w:sz="12" w:space="0" w:color="auto"/>
              <w:left w:val="single" w:sz="12" w:space="0" w:color="auto"/>
              <w:bottom w:val="single" w:sz="12" w:space="0" w:color="auto"/>
              <w:right w:val="single" w:sz="12" w:space="0" w:color="auto"/>
            </w:tcBorders>
            <w:shd w:val="clear" w:color="auto" w:fill="C00000"/>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Unit</w:t>
            </w:r>
          </w:p>
        </w:tc>
        <w:tc>
          <w:tcPr>
            <w:tcW w:w="1170" w:type="dxa"/>
            <w:tcBorders>
              <w:top w:val="single" w:sz="12" w:space="0" w:color="auto"/>
              <w:left w:val="single" w:sz="12" w:space="0" w:color="auto"/>
              <w:bottom w:val="single" w:sz="12" w:space="0" w:color="auto"/>
              <w:right w:val="single" w:sz="12" w:space="0" w:color="auto"/>
            </w:tcBorders>
            <w:shd w:val="clear" w:color="auto" w:fill="C00000"/>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Adult</w:t>
            </w:r>
          </w:p>
        </w:tc>
        <w:tc>
          <w:tcPr>
            <w:tcW w:w="1170" w:type="dxa"/>
            <w:tcBorders>
              <w:top w:val="single" w:sz="12" w:space="0" w:color="auto"/>
              <w:left w:val="single" w:sz="12" w:space="0" w:color="auto"/>
              <w:bottom w:val="single" w:sz="12" w:space="0" w:color="auto"/>
            </w:tcBorders>
            <w:shd w:val="clear" w:color="auto" w:fill="C00000"/>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Child</w:t>
            </w:r>
          </w:p>
        </w:tc>
      </w:tr>
      <w:tr w:rsidR="002F46C3" w:rsidRPr="002F46C3" w:rsidTr="00A74708">
        <w:trPr>
          <w:trHeight w:val="288"/>
          <w:jc w:val="center"/>
        </w:trPr>
        <w:tc>
          <w:tcPr>
            <w:tcW w:w="3495" w:type="dxa"/>
            <w:tcBorders>
              <w:top w:val="single" w:sz="12"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Concentration of metals (C</w:t>
            </w:r>
            <w:r w:rsidRPr="002F46C3">
              <w:rPr>
                <w:rFonts w:asciiTheme="majorBidi" w:hAnsiTheme="majorBidi" w:cstheme="majorBidi"/>
                <w:sz w:val="22"/>
                <w:szCs w:val="22"/>
                <w:vertAlign w:val="subscript"/>
              </w:rPr>
              <w:t>soil</w:t>
            </w:r>
            <w:r w:rsidRPr="002F46C3">
              <w:rPr>
                <w:rFonts w:asciiTheme="majorBidi" w:hAnsiTheme="majorBidi" w:cstheme="majorBidi"/>
                <w:sz w:val="22"/>
                <w:szCs w:val="22"/>
              </w:rPr>
              <w:t>)</w:t>
            </w:r>
          </w:p>
        </w:tc>
        <w:tc>
          <w:tcPr>
            <w:tcW w:w="1455" w:type="dxa"/>
            <w:tcBorders>
              <w:top w:val="single" w:sz="12"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ppm</w:t>
            </w:r>
          </w:p>
        </w:tc>
        <w:tc>
          <w:tcPr>
            <w:tcW w:w="1170" w:type="dxa"/>
            <w:tcBorders>
              <w:top w:val="single" w:sz="12"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w:t>
            </w:r>
          </w:p>
        </w:tc>
        <w:tc>
          <w:tcPr>
            <w:tcW w:w="1170" w:type="dxa"/>
            <w:tcBorders>
              <w:top w:val="single" w:sz="12"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Exposure Duration (ED)</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year</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30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6</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Exposure Frequency (EF)</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days/ year</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350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350</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Ingestion Rate (IngR)</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mg/ day</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100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200</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Inhalation Rate (InhR)</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m</w:t>
            </w:r>
            <w:r w:rsidRPr="002F46C3">
              <w:rPr>
                <w:rFonts w:asciiTheme="majorBidi" w:hAnsiTheme="majorBidi" w:cstheme="majorBidi"/>
                <w:sz w:val="22"/>
                <w:szCs w:val="22"/>
                <w:vertAlign w:val="superscript"/>
              </w:rPr>
              <w:t>3</w:t>
            </w:r>
            <w:r w:rsidRPr="002F46C3">
              <w:rPr>
                <w:rFonts w:asciiTheme="majorBidi" w:hAnsiTheme="majorBidi" w:cstheme="majorBidi"/>
                <w:sz w:val="22"/>
                <w:szCs w:val="22"/>
              </w:rPr>
              <w:t>/ day</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20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10</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Body Weight (BW)</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kg</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70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15</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Average Time (AT):</w:t>
            </w: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For Non-carcinogenic</w:t>
            </w: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For Carcinogenic</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days</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ED * 365</w:t>
            </w: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70 * 365</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ED * 365</w:t>
            </w:r>
          </w:p>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70 * 365</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Conversion Factor (CF)</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kg/mg</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vertAlign w:val="superscript"/>
              </w:rPr>
            </w:pPr>
            <w:r w:rsidRPr="002F46C3">
              <w:rPr>
                <w:rFonts w:asciiTheme="majorBidi" w:hAnsiTheme="majorBidi" w:cstheme="majorBidi"/>
                <w:sz w:val="22"/>
                <w:szCs w:val="22"/>
              </w:rPr>
              <w:t>10</w:t>
            </w:r>
            <w:r w:rsidRPr="002F46C3">
              <w:rPr>
                <w:rFonts w:asciiTheme="majorBidi" w:hAnsiTheme="majorBidi" w:cstheme="majorBidi"/>
                <w:sz w:val="22"/>
                <w:szCs w:val="22"/>
                <w:vertAlign w:val="superscript"/>
              </w:rPr>
              <w:t>-6</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10</w:t>
            </w:r>
            <w:r w:rsidRPr="002F46C3">
              <w:rPr>
                <w:rFonts w:asciiTheme="majorBidi" w:hAnsiTheme="majorBidi" w:cstheme="majorBidi"/>
                <w:sz w:val="22"/>
                <w:szCs w:val="22"/>
                <w:vertAlign w:val="superscript"/>
              </w:rPr>
              <w:t>-6</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Skin Surface Area (SA)</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cm</w:t>
            </w:r>
            <w:r w:rsidRPr="002F46C3">
              <w:rPr>
                <w:rFonts w:asciiTheme="majorBidi" w:hAnsiTheme="majorBidi" w:cstheme="majorBidi"/>
                <w:sz w:val="22"/>
                <w:szCs w:val="22"/>
                <w:vertAlign w:val="superscript"/>
              </w:rPr>
              <w:t>2</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5700</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2800</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Soil Adherence Factor (AF)</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mg/cm</w:t>
            </w:r>
            <w:r w:rsidRPr="002F46C3">
              <w:rPr>
                <w:rFonts w:asciiTheme="majorBidi" w:hAnsiTheme="majorBidi" w:cstheme="majorBidi"/>
                <w:sz w:val="22"/>
                <w:szCs w:val="22"/>
                <w:vertAlign w:val="superscript"/>
              </w:rPr>
              <w:t>2</w:t>
            </w:r>
            <w:r w:rsidRPr="002F46C3">
              <w:rPr>
                <w:rFonts w:asciiTheme="majorBidi" w:hAnsiTheme="majorBidi" w:cstheme="majorBidi"/>
                <w:sz w:val="22"/>
                <w:szCs w:val="22"/>
              </w:rPr>
              <w:t>.day</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0.07</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0.2</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Particle Emission Factor (PEF)</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m</w:t>
            </w:r>
            <w:r w:rsidRPr="002F46C3">
              <w:rPr>
                <w:rFonts w:asciiTheme="majorBidi" w:hAnsiTheme="majorBidi" w:cstheme="majorBidi"/>
                <w:sz w:val="22"/>
                <w:szCs w:val="22"/>
                <w:vertAlign w:val="superscript"/>
              </w:rPr>
              <w:t>3</w:t>
            </w:r>
            <w:r w:rsidRPr="002F46C3">
              <w:rPr>
                <w:rFonts w:asciiTheme="majorBidi" w:hAnsiTheme="majorBidi" w:cstheme="majorBidi"/>
                <w:sz w:val="22"/>
                <w:szCs w:val="22"/>
              </w:rPr>
              <w:t>/kg</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vertAlign w:val="superscript"/>
              </w:rPr>
            </w:pPr>
            <w:r w:rsidRPr="002F46C3">
              <w:rPr>
                <w:rFonts w:asciiTheme="majorBidi" w:hAnsiTheme="majorBidi" w:cstheme="majorBidi"/>
                <w:sz w:val="22"/>
                <w:szCs w:val="22"/>
              </w:rPr>
              <w:t>1.4*10</w:t>
            </w:r>
            <w:r w:rsidRPr="002F46C3">
              <w:rPr>
                <w:rFonts w:asciiTheme="majorBidi" w:hAnsiTheme="majorBidi" w:cstheme="majorBidi"/>
                <w:sz w:val="22"/>
                <w:szCs w:val="22"/>
                <w:vertAlign w:val="superscript"/>
              </w:rPr>
              <w:t>9</w:t>
            </w:r>
          </w:p>
        </w:tc>
        <w:tc>
          <w:tcPr>
            <w:tcW w:w="1170"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1.4*10</w:t>
            </w:r>
            <w:r w:rsidRPr="002F46C3">
              <w:rPr>
                <w:rFonts w:asciiTheme="majorBidi" w:hAnsiTheme="majorBidi" w:cstheme="majorBidi"/>
                <w:sz w:val="22"/>
                <w:szCs w:val="22"/>
                <w:vertAlign w:val="superscript"/>
              </w:rPr>
              <w:t>9</w:t>
            </w:r>
          </w:p>
        </w:tc>
      </w:tr>
      <w:tr w:rsidR="002F46C3" w:rsidRPr="002F46C3" w:rsidTr="00A74708">
        <w:trPr>
          <w:trHeight w:val="288"/>
          <w:jc w:val="center"/>
        </w:trPr>
        <w:tc>
          <w:tcPr>
            <w:tcW w:w="349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Dermal Absorption Factor (ABS)</w:t>
            </w:r>
          </w:p>
        </w:tc>
        <w:tc>
          <w:tcPr>
            <w:tcW w:w="1455" w:type="dxa"/>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w:t>
            </w:r>
          </w:p>
        </w:tc>
        <w:tc>
          <w:tcPr>
            <w:tcW w:w="2340" w:type="dxa"/>
            <w:gridSpan w:val="2"/>
            <w:tcBorders>
              <w:top w:val="single" w:sz="6" w:space="0" w:color="auto"/>
              <w:bottom w:val="single" w:sz="6" w:space="0" w:color="auto"/>
            </w:tcBorders>
          </w:tcPr>
          <w:p w:rsidR="002F46C3" w:rsidRPr="002F46C3" w:rsidRDefault="002F46C3" w:rsidP="002F46C3">
            <w:pPr>
              <w:spacing w:after="0" w:line="240" w:lineRule="auto"/>
              <w:jc w:val="both"/>
              <w:rPr>
                <w:rFonts w:asciiTheme="majorBidi" w:hAnsiTheme="majorBidi" w:cstheme="majorBidi"/>
                <w:sz w:val="22"/>
                <w:szCs w:val="22"/>
              </w:rPr>
            </w:pPr>
            <w:r w:rsidRPr="002F46C3">
              <w:rPr>
                <w:rFonts w:asciiTheme="majorBidi" w:hAnsiTheme="majorBidi" w:cstheme="majorBidi"/>
                <w:sz w:val="22"/>
                <w:szCs w:val="22"/>
              </w:rPr>
              <w:t>0.03 for As and 0.001 for other elements</w:t>
            </w:r>
          </w:p>
        </w:tc>
      </w:tr>
    </w:tbl>
    <w:p w:rsidR="00313E7F" w:rsidRPr="00C329A3" w:rsidRDefault="00313E7F" w:rsidP="005D7FC5">
      <w:pPr>
        <w:spacing w:line="240" w:lineRule="auto"/>
        <w:jc w:val="both"/>
        <w:rPr>
          <w:rFonts w:asciiTheme="majorBidi" w:hAnsiTheme="majorBidi" w:cstheme="majorBidi"/>
          <w:i/>
          <w:iCs/>
          <w:sz w:val="24"/>
          <w:szCs w:val="24"/>
        </w:rPr>
      </w:pPr>
    </w:p>
    <w:p w:rsidR="00D42EB1" w:rsidRPr="00C329A3" w:rsidRDefault="00D42EB1" w:rsidP="00C329A3">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w:t>
      </w:r>
      <w:r w:rsidR="007C0C0B">
        <w:rPr>
          <w:rFonts w:asciiTheme="majorBidi" w:hAnsiTheme="majorBidi" w:cstheme="majorBidi"/>
          <w:b/>
          <w:bCs/>
          <w:i/>
          <w:iCs/>
          <w:sz w:val="24"/>
          <w:szCs w:val="24"/>
        </w:rPr>
        <w:t>3</w:t>
      </w:r>
      <w:r w:rsidRPr="00C329A3">
        <w:rPr>
          <w:rFonts w:asciiTheme="majorBidi" w:hAnsiTheme="majorBidi" w:cstheme="majorBidi"/>
          <w:b/>
          <w:bCs/>
          <w:i/>
          <w:iCs/>
          <w:sz w:val="24"/>
          <w:szCs w:val="24"/>
        </w:rPr>
        <w:t>.2 Non-carcinogenic Risk Assessment:</w:t>
      </w:r>
    </w:p>
    <w:p w:rsidR="002F46C3" w:rsidRPr="002F46C3" w:rsidRDefault="002F46C3" w:rsidP="002F46C3">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F46C3">
        <w:rPr>
          <w:rFonts w:asciiTheme="majorBidi" w:hAnsiTheme="majorBidi" w:cstheme="majorBidi"/>
          <w:sz w:val="24"/>
          <w:szCs w:val="24"/>
        </w:rPr>
        <w:t>The non-carcinogenic risk evaluated by using the hazard quotient (</w:t>
      </w:r>
      <w:r w:rsidRPr="006578B8">
        <w:rPr>
          <w:rFonts w:asciiTheme="majorBidi" w:hAnsiTheme="majorBidi" w:cstheme="majorBidi"/>
          <w:i/>
          <w:iCs/>
          <w:sz w:val="24"/>
          <w:szCs w:val="24"/>
        </w:rPr>
        <w:t>HQ</w:t>
      </w:r>
      <w:r w:rsidRPr="002F46C3">
        <w:rPr>
          <w:rFonts w:asciiTheme="majorBidi" w:hAnsiTheme="majorBidi" w:cstheme="majorBidi"/>
          <w:sz w:val="24"/>
          <w:szCs w:val="24"/>
        </w:rPr>
        <w:t xml:space="preserve">). </w:t>
      </w:r>
      <w:r w:rsidRPr="006578B8">
        <w:rPr>
          <w:rFonts w:asciiTheme="majorBidi" w:hAnsiTheme="majorBidi" w:cstheme="majorBidi"/>
          <w:i/>
          <w:iCs/>
          <w:sz w:val="24"/>
          <w:szCs w:val="24"/>
        </w:rPr>
        <w:t>HQ</w:t>
      </w:r>
      <w:r w:rsidRPr="002F46C3">
        <w:rPr>
          <w:rFonts w:asciiTheme="majorBidi" w:hAnsiTheme="majorBidi" w:cstheme="majorBidi"/>
          <w:sz w:val="24"/>
          <w:szCs w:val="24"/>
        </w:rPr>
        <w:t xml:space="preserve"> value indicates the degree of exposure (</w:t>
      </w:r>
      <w:r w:rsidRPr="002F46C3">
        <w:rPr>
          <w:rFonts w:asciiTheme="majorBidi" w:hAnsiTheme="majorBidi" w:cstheme="majorBidi"/>
          <w:i/>
          <w:iCs/>
          <w:sz w:val="24"/>
          <w:szCs w:val="24"/>
        </w:rPr>
        <w:t>CDI</w:t>
      </w:r>
      <w:r w:rsidRPr="002F46C3">
        <w:rPr>
          <w:rFonts w:asciiTheme="majorBidi" w:hAnsiTheme="majorBidi" w:cstheme="majorBidi"/>
          <w:sz w:val="24"/>
          <w:szCs w:val="24"/>
        </w:rPr>
        <w:t>) greater or less than the (</w:t>
      </w:r>
      <w:r w:rsidRPr="002F46C3">
        <w:rPr>
          <w:rFonts w:asciiTheme="majorBidi" w:hAnsiTheme="majorBidi" w:cstheme="majorBidi"/>
          <w:i/>
          <w:iCs/>
          <w:sz w:val="24"/>
          <w:szCs w:val="24"/>
        </w:rPr>
        <w:t>RfD</w:t>
      </w:r>
      <w:r w:rsidRPr="002F46C3">
        <w:rPr>
          <w:rFonts w:asciiTheme="majorBidi" w:hAnsiTheme="majorBidi" w:cstheme="majorBidi"/>
          <w:sz w:val="24"/>
          <w:szCs w:val="24"/>
        </w:rPr>
        <w:t xml:space="preserve">). The </w:t>
      </w:r>
      <w:r w:rsidRPr="006578B8">
        <w:rPr>
          <w:rFonts w:asciiTheme="majorBidi" w:hAnsiTheme="majorBidi" w:cstheme="majorBidi"/>
          <w:i/>
          <w:iCs/>
          <w:sz w:val="24"/>
          <w:szCs w:val="24"/>
        </w:rPr>
        <w:t>HQ</w:t>
      </w:r>
      <w:r w:rsidRPr="002F46C3">
        <w:rPr>
          <w:rFonts w:asciiTheme="majorBidi" w:hAnsiTheme="majorBidi" w:cstheme="majorBidi"/>
          <w:sz w:val="24"/>
          <w:szCs w:val="24"/>
        </w:rPr>
        <w:t xml:space="preserve"> value represents the ratio of </w:t>
      </w:r>
      <w:r w:rsidRPr="002F46C3">
        <w:rPr>
          <w:rFonts w:asciiTheme="majorBidi" w:hAnsiTheme="majorBidi" w:cstheme="majorBidi"/>
          <w:i/>
          <w:iCs/>
          <w:sz w:val="24"/>
          <w:szCs w:val="24"/>
        </w:rPr>
        <w:t xml:space="preserve">ADI </w:t>
      </w:r>
      <w:r w:rsidRPr="002F46C3">
        <w:rPr>
          <w:rFonts w:asciiTheme="majorBidi" w:hAnsiTheme="majorBidi" w:cstheme="majorBidi"/>
          <w:sz w:val="24"/>
          <w:szCs w:val="24"/>
        </w:rPr>
        <w:t xml:space="preserve">to </w:t>
      </w:r>
      <w:r w:rsidRPr="002F46C3">
        <w:rPr>
          <w:rFonts w:asciiTheme="majorBidi" w:hAnsiTheme="majorBidi" w:cstheme="majorBidi"/>
          <w:i/>
          <w:iCs/>
          <w:sz w:val="24"/>
          <w:szCs w:val="24"/>
        </w:rPr>
        <w:t>RfD</w:t>
      </w:r>
      <w:r w:rsidRPr="002F46C3">
        <w:rPr>
          <w:rFonts w:asciiTheme="majorBidi" w:hAnsiTheme="majorBidi" w:cstheme="majorBidi"/>
          <w:sz w:val="24"/>
          <w:szCs w:val="24"/>
        </w:rPr>
        <w:t xml:space="preserve"> of the toxic metals in soil samples were calculated by using the following equation (U.S. EPA, 1989), </w:t>
      </w:r>
      <w:r w:rsidR="00211201">
        <w:rPr>
          <w:rFonts w:asciiTheme="majorBidi" w:hAnsiTheme="majorBidi" w:cstheme="majorBidi"/>
          <w:sz w:val="24"/>
          <w:szCs w:val="24"/>
        </w:rPr>
        <w:t xml:space="preserve">see </w:t>
      </w:r>
      <w:r w:rsidRPr="002F46C3">
        <w:rPr>
          <w:rFonts w:asciiTheme="majorBidi" w:hAnsiTheme="majorBidi" w:cstheme="majorBidi"/>
          <w:sz w:val="24"/>
          <w:szCs w:val="24"/>
        </w:rPr>
        <w:t xml:space="preserve">(Table </w:t>
      </w:r>
      <w:r w:rsidR="00211201">
        <w:rPr>
          <w:rFonts w:asciiTheme="majorBidi" w:hAnsiTheme="majorBidi" w:cstheme="majorBidi"/>
          <w:sz w:val="24"/>
          <w:szCs w:val="24"/>
        </w:rPr>
        <w:t>4</w:t>
      </w:r>
      <w:r w:rsidRPr="002F46C3">
        <w:rPr>
          <w:rFonts w:asciiTheme="majorBidi" w:hAnsiTheme="majorBidi" w:cstheme="majorBidi"/>
          <w:sz w:val="24"/>
          <w:szCs w:val="24"/>
        </w:rPr>
        <w:t>):</w:t>
      </w:r>
    </w:p>
    <w:p w:rsidR="002F46C3" w:rsidRPr="002F46C3" w:rsidRDefault="006A030A" w:rsidP="002F46C3">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m:oMath>
        <m:r>
          <w:rPr>
            <w:rFonts w:ascii="Cambria Math" w:hAnsi="Cambria Math" w:cstheme="majorBidi"/>
            <w:sz w:val="24"/>
            <w:szCs w:val="24"/>
          </w:rPr>
          <m:t>THQ=</m:t>
        </m:r>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ing</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drmal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inh</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ing-nc</m:t>
                </m:r>
              </m:sub>
            </m:sSub>
          </m:num>
          <m:den>
            <m:sSub>
              <m:sSubPr>
                <m:ctrlPr>
                  <w:rPr>
                    <w:rFonts w:ascii="Cambria Math" w:hAnsi="Cambria Math" w:cstheme="majorBidi"/>
                    <w:i/>
                    <w:sz w:val="24"/>
                    <w:szCs w:val="24"/>
                  </w:rPr>
                </m:ctrlPr>
              </m:sSubPr>
              <m:e>
                <m:r>
                  <w:rPr>
                    <w:rFonts w:ascii="Cambria Math" w:hAnsi="Cambria Math" w:cstheme="majorBidi"/>
                    <w:sz w:val="24"/>
                    <w:szCs w:val="24"/>
                  </w:rPr>
                  <m:t>RfD</m:t>
                </m:r>
              </m:e>
              <m:sub>
                <m:r>
                  <w:rPr>
                    <w:rFonts w:ascii="Cambria Math" w:hAnsi="Cambria Math" w:cstheme="majorBidi"/>
                    <w:sz w:val="24"/>
                    <w:szCs w:val="24"/>
                  </w:rPr>
                  <m:t>ing</m:t>
                </m:r>
              </m:sub>
            </m:sSub>
          </m:den>
        </m:f>
        <m:r>
          <w:rPr>
            <w:rFonts w:ascii="Cambria Math" w:hAnsi="Cambria Math" w:cstheme="majorBidi"/>
            <w:sz w:val="24"/>
            <w:szCs w:val="24"/>
          </w:rPr>
          <m:t>+</m:t>
        </m:r>
        <m:f>
          <m:fPr>
            <m:ctrlPr>
              <w:rPr>
                <w:rFonts w:ascii="Cambria Math" w:hAnsi="Cambria Math" w:cstheme="majorBidi"/>
                <w:i/>
                <w:sz w:val="24"/>
                <w:szCs w:val="24"/>
              </w:rPr>
            </m:ctrlPr>
          </m:fPr>
          <m:num>
            <w:bookmarkStart w:id="10" w:name="_Hlk487213306"/>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dermal-nc</m:t>
                </m:r>
              </m:sub>
            </m:sSub>
            <w:bookmarkEnd w:id="10"/>
          </m:num>
          <m:den>
            <m:sSub>
              <m:sSubPr>
                <m:ctrlPr>
                  <w:rPr>
                    <w:rFonts w:ascii="Cambria Math" w:hAnsi="Cambria Math" w:cstheme="majorBidi"/>
                    <w:i/>
                    <w:sz w:val="24"/>
                    <w:szCs w:val="24"/>
                  </w:rPr>
                </m:ctrlPr>
              </m:sSubPr>
              <m:e>
                <m:r>
                  <w:rPr>
                    <w:rFonts w:ascii="Cambria Math" w:hAnsi="Cambria Math" w:cstheme="majorBidi"/>
                    <w:sz w:val="24"/>
                    <w:szCs w:val="24"/>
                  </w:rPr>
                  <m:t>RfD</m:t>
                </m:r>
              </m:e>
              <m:sub>
                <m:r>
                  <w:rPr>
                    <w:rFonts w:ascii="Cambria Math" w:hAnsi="Cambria Math" w:cstheme="majorBidi"/>
                    <w:sz w:val="24"/>
                    <w:szCs w:val="24"/>
                  </w:rPr>
                  <m:t>dermal</m:t>
                </m:r>
              </m:sub>
            </m:sSub>
          </m:den>
        </m:f>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inh-nc</m:t>
                </m:r>
              </m:sub>
            </m:sSub>
          </m:num>
          <m:den>
            <m:sSub>
              <m:sSubPr>
                <m:ctrlPr>
                  <w:rPr>
                    <w:rFonts w:ascii="Cambria Math" w:hAnsi="Cambria Math" w:cstheme="majorBidi"/>
                    <w:i/>
                    <w:sz w:val="24"/>
                    <w:szCs w:val="24"/>
                  </w:rPr>
                </m:ctrlPr>
              </m:sSubPr>
              <m:e>
                <m:r>
                  <w:rPr>
                    <w:rFonts w:ascii="Cambria Math" w:hAnsi="Cambria Math" w:cstheme="majorBidi"/>
                    <w:sz w:val="24"/>
                    <w:szCs w:val="24"/>
                  </w:rPr>
                  <m:t>RfC</m:t>
                </m:r>
              </m:e>
              <m:sub>
                <m:r>
                  <w:rPr>
                    <w:rFonts w:ascii="Cambria Math" w:hAnsi="Cambria Math" w:cstheme="majorBidi"/>
                    <w:sz w:val="24"/>
                    <w:szCs w:val="24"/>
                  </w:rPr>
                  <m:t>inh</m:t>
                </m:r>
              </m:sub>
            </m:sSub>
          </m:den>
        </m:f>
        <m:r>
          <w:rPr>
            <w:rFonts w:ascii="Cambria Math" w:hAnsi="Cambria Math" w:cstheme="majorBidi"/>
            <w:sz w:val="24"/>
            <w:szCs w:val="24"/>
          </w:rPr>
          <m:t xml:space="preserve"> </m:t>
        </m:r>
      </m:oMath>
      <w:r w:rsidR="002F46C3" w:rsidRPr="002F46C3">
        <w:rPr>
          <w:rFonts w:asciiTheme="majorBidi" w:hAnsiTheme="majorBidi" w:cstheme="majorBidi"/>
          <w:sz w:val="24"/>
          <w:szCs w:val="24"/>
        </w:rPr>
        <w:t xml:space="preserve">   </w:t>
      </w:r>
      <w:r>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Pr>
          <w:rFonts w:asciiTheme="majorBidi" w:hAnsiTheme="majorBidi" w:cstheme="majorBidi"/>
          <w:sz w:val="24"/>
          <w:szCs w:val="24"/>
        </w:rPr>
        <w:t xml:space="preserve">   </w:t>
      </w:r>
      <w:r w:rsidR="002F46C3" w:rsidRPr="002F46C3">
        <w:rPr>
          <w:rFonts w:asciiTheme="majorBidi" w:hAnsiTheme="majorBidi" w:cstheme="majorBidi"/>
          <w:sz w:val="24"/>
          <w:szCs w:val="24"/>
        </w:rPr>
        <w:t>(</w:t>
      </w:r>
      <w:r w:rsidR="00211201">
        <w:rPr>
          <w:rFonts w:asciiTheme="majorBidi" w:hAnsiTheme="majorBidi" w:cstheme="majorBidi"/>
          <w:sz w:val="24"/>
          <w:szCs w:val="24"/>
        </w:rPr>
        <w:t>10</w:t>
      </w:r>
      <w:r w:rsidR="002F46C3" w:rsidRPr="002F46C3">
        <w:rPr>
          <w:rFonts w:asciiTheme="majorBidi" w:hAnsiTheme="majorBidi" w:cstheme="majorBidi"/>
          <w:sz w:val="24"/>
          <w:szCs w:val="24"/>
        </w:rPr>
        <w: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Where:</w:t>
      </w:r>
      <m:oMath>
        <m:r>
          <w:rPr>
            <w:rFonts w:ascii="Cambria Math" w:hAnsi="Cambria Math" w:cstheme="majorBidi"/>
            <w:sz w:val="24"/>
            <w:szCs w:val="24"/>
          </w:rPr>
          <m:t xml:space="preserve"> THQ</m:t>
        </m:r>
      </m:oMath>
      <w:r w:rsidRPr="002F46C3">
        <w:rPr>
          <w:rFonts w:asciiTheme="majorBidi" w:hAnsiTheme="majorBidi" w:cstheme="majorBidi"/>
          <w:sz w:val="24"/>
          <w:szCs w:val="24"/>
        </w:rPr>
        <w:t xml:space="preserve"> is Total Hazard Quotient, </w:t>
      </w:r>
      <m:oMath>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is Ingestion Hazard Quotient, </w:t>
      </w:r>
      <m:oMath>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drmal</m:t>
            </m:r>
          </m:sub>
        </m:sSub>
      </m:oMath>
      <w:r w:rsidRPr="002F46C3">
        <w:rPr>
          <w:rFonts w:asciiTheme="majorBidi" w:hAnsiTheme="majorBidi" w:cstheme="majorBidi"/>
          <w:sz w:val="24"/>
          <w:szCs w:val="24"/>
        </w:rPr>
        <w:t xml:space="preserve"> is Dermal Hazard Quotient, </w:t>
      </w:r>
      <m:oMath>
        <m:sSub>
          <m:sSubPr>
            <m:ctrlPr>
              <w:rPr>
                <w:rFonts w:ascii="Cambria Math" w:hAnsi="Cambria Math" w:cstheme="majorBidi"/>
                <w:i/>
                <w:sz w:val="24"/>
                <w:szCs w:val="24"/>
              </w:rPr>
            </m:ctrlPr>
          </m:sSubPr>
          <m:e>
            <m:r>
              <w:rPr>
                <w:rFonts w:ascii="Cambria Math" w:hAnsi="Cambria Math" w:cstheme="majorBidi"/>
                <w:sz w:val="24"/>
                <w:szCs w:val="24"/>
              </w:rPr>
              <m:t>HQ</m:t>
            </m:r>
          </m:e>
          <m:sub>
            <m:r>
              <w:rPr>
                <w:rFonts w:ascii="Cambria Math" w:hAnsi="Cambria Math" w:cstheme="majorBidi"/>
                <w:sz w:val="24"/>
                <w:szCs w:val="24"/>
              </w:rPr>
              <m:t>inh</m:t>
            </m:r>
          </m:sub>
        </m:sSub>
      </m:oMath>
      <w:r w:rsidRPr="002F46C3">
        <w:rPr>
          <w:rFonts w:asciiTheme="majorBidi" w:hAnsiTheme="majorBidi" w:cstheme="majorBidi"/>
          <w:sz w:val="24"/>
          <w:szCs w:val="24"/>
        </w:rPr>
        <w:t xml:space="preserve"> is Inhalation Hazard Quotient  </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ing-nc</m:t>
            </m:r>
          </m:sub>
        </m:sSub>
      </m:oMath>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dermal-nc</m:t>
            </m:r>
          </m:sub>
        </m:sSub>
      </m:oMath>
      <w:r w:rsidRPr="002F46C3">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inh-nc</m:t>
            </m:r>
          </m:sub>
        </m:sSub>
      </m:oMath>
      <w:r w:rsidRPr="002F46C3">
        <w:rPr>
          <w:rFonts w:asciiTheme="majorBidi" w:hAnsiTheme="majorBidi" w:cstheme="majorBidi"/>
          <w:sz w:val="24"/>
          <w:szCs w:val="24"/>
        </w:rPr>
        <w:t xml:space="preserve"> were non-carcinogenic chronic daily intake through three pathways ingestion (mg/kg-day), dermal (mg/kg-day), and inhalation (mg/m</w:t>
      </w:r>
      <w:r w:rsidRPr="002F46C3">
        <w:rPr>
          <w:rFonts w:asciiTheme="majorBidi" w:hAnsiTheme="majorBidi" w:cstheme="majorBidi"/>
          <w:sz w:val="24"/>
          <w:szCs w:val="24"/>
          <w:vertAlign w:val="superscript"/>
        </w:rPr>
        <w:t>3</w:t>
      </w:r>
      <w:r w:rsidRPr="002F46C3">
        <w:rPr>
          <w:rFonts w:asciiTheme="majorBidi" w:hAnsiTheme="majorBidi" w:cstheme="majorBidi"/>
          <w:sz w:val="24"/>
          <w:szCs w:val="24"/>
        </w:rPr>
        <w:t xml:space="preserve">), respectively, </w:t>
      </w:r>
      <m:oMath>
        <m:sSub>
          <m:sSubPr>
            <m:ctrlPr>
              <w:rPr>
                <w:rFonts w:ascii="Cambria Math" w:hAnsi="Cambria Math" w:cstheme="majorBidi"/>
                <w:i/>
                <w:sz w:val="24"/>
                <w:szCs w:val="24"/>
              </w:rPr>
            </m:ctrlPr>
          </m:sSubPr>
          <m:e>
            <m:r>
              <w:rPr>
                <w:rFonts w:ascii="Cambria Math" w:hAnsi="Cambria Math" w:cstheme="majorBidi"/>
                <w:sz w:val="24"/>
                <w:szCs w:val="24"/>
              </w:rPr>
              <m:t>RfD</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RfD</m:t>
            </m:r>
          </m:e>
          <m:sub>
            <m:r>
              <w:rPr>
                <w:rFonts w:ascii="Cambria Math" w:hAnsi="Cambria Math" w:cstheme="majorBidi"/>
                <w:sz w:val="24"/>
                <w:szCs w:val="24"/>
              </w:rPr>
              <m:t>dermal</m:t>
            </m:r>
          </m:sub>
        </m:sSub>
      </m:oMath>
      <w:r w:rsidRPr="002F46C3">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RfC</m:t>
            </m:r>
          </m:e>
          <m:sub>
            <m:r>
              <w:rPr>
                <w:rFonts w:ascii="Cambria Math" w:hAnsi="Cambria Math" w:cstheme="majorBidi"/>
                <w:sz w:val="24"/>
                <w:szCs w:val="24"/>
              </w:rPr>
              <m:t>inh</m:t>
            </m:r>
          </m:sub>
        </m:sSub>
      </m:oMath>
      <w:r w:rsidRPr="002F46C3">
        <w:rPr>
          <w:rFonts w:asciiTheme="majorBidi" w:hAnsiTheme="majorBidi" w:cstheme="majorBidi"/>
          <w:sz w:val="24"/>
          <w:szCs w:val="24"/>
        </w:rPr>
        <w:t xml:space="preserve"> were Ingestion Reference Dose (mg/ kg-day), Dermal Reference Dose (</w:t>
      </w:r>
      <m:oMath>
        <m:sSub>
          <m:sSubPr>
            <m:ctrlPr>
              <w:rPr>
                <w:rFonts w:ascii="Cambria Math" w:hAnsi="Cambria Math" w:cstheme="majorBidi"/>
                <w:i/>
                <w:sz w:val="24"/>
                <w:szCs w:val="24"/>
              </w:rPr>
            </m:ctrlPr>
          </m:sSubPr>
          <m:e>
            <m:r>
              <w:rPr>
                <w:rFonts w:ascii="Cambria Math" w:hAnsi="Cambria Math" w:cstheme="majorBidi"/>
                <w:sz w:val="24"/>
                <w:szCs w:val="24"/>
              </w:rPr>
              <m:t>RfD</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Fraction of contaminant absorbed in the skin </w:t>
      </w:r>
      <m:oMath>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ABS</m:t>
            </m:r>
          </m:e>
          <m:sub>
            <m:r>
              <w:rPr>
                <w:rFonts w:ascii="Cambria Math" w:hAnsi="Cambria Math" w:cstheme="majorBidi"/>
                <w:sz w:val="24"/>
                <w:szCs w:val="24"/>
              </w:rPr>
              <m:t>GI</m:t>
            </m:r>
          </m:sub>
        </m:sSub>
      </m:oMath>
      <w:r w:rsidRPr="002F46C3">
        <w:rPr>
          <w:rFonts w:asciiTheme="majorBidi" w:hAnsiTheme="majorBidi" w:cstheme="majorBidi"/>
          <w:sz w:val="24"/>
          <w:szCs w:val="24"/>
        </w:rPr>
        <w:t>)) (mg/ kg-day), and Inhalation Reference Concentration (mg/m</w:t>
      </w:r>
      <w:r w:rsidRPr="002F46C3">
        <w:rPr>
          <w:rFonts w:asciiTheme="majorBidi" w:hAnsiTheme="majorBidi" w:cstheme="majorBidi"/>
          <w:sz w:val="24"/>
          <w:szCs w:val="24"/>
          <w:vertAlign w:val="superscript"/>
        </w:rPr>
        <w:t>3</w:t>
      </w:r>
      <w:r w:rsidRPr="002F46C3">
        <w:rPr>
          <w:rFonts w:asciiTheme="majorBidi" w:hAnsiTheme="majorBidi" w:cstheme="majorBidi"/>
          <w:sz w:val="24"/>
          <w:szCs w:val="24"/>
        </w:rPr>
        <w:t>), respectively.</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The hazard index (</w:t>
      </w:r>
      <w:r w:rsidRPr="00F33EE8">
        <w:rPr>
          <w:rFonts w:asciiTheme="majorBidi" w:hAnsiTheme="majorBidi" w:cstheme="majorBidi"/>
          <w:i/>
          <w:iCs/>
          <w:sz w:val="24"/>
          <w:szCs w:val="24"/>
        </w:rPr>
        <w:t>HI</w:t>
      </w:r>
      <w:r w:rsidRPr="002F46C3">
        <w:rPr>
          <w:rFonts w:asciiTheme="majorBidi" w:hAnsiTheme="majorBidi" w:cstheme="majorBidi"/>
          <w:sz w:val="24"/>
          <w:szCs w:val="24"/>
        </w:rPr>
        <w:t xml:space="preserve">) estimated the risk of a mixture of contaminant (e.g. Heavy metal), which represents the sum of more than one HQ for heavy metals, the </w:t>
      </w:r>
      <w:r w:rsidRPr="00F33EE8">
        <w:rPr>
          <w:rFonts w:asciiTheme="majorBidi" w:hAnsiTheme="majorBidi" w:cstheme="majorBidi"/>
          <w:i/>
          <w:iCs/>
          <w:sz w:val="24"/>
          <w:szCs w:val="24"/>
        </w:rPr>
        <w:t>HI</w:t>
      </w:r>
      <w:r w:rsidRPr="002F46C3">
        <w:rPr>
          <w:rFonts w:asciiTheme="majorBidi" w:hAnsiTheme="majorBidi" w:cstheme="majorBidi"/>
          <w:sz w:val="24"/>
          <w:szCs w:val="24"/>
        </w:rPr>
        <w:t xml:space="preserve"> calculated by using the following equation (U.S. EPA, 1989):</w:t>
      </w:r>
    </w:p>
    <w:p w:rsidR="002F46C3" w:rsidRPr="002F46C3" w:rsidRDefault="002F46C3" w:rsidP="002F46C3">
      <w:pPr>
        <w:spacing w:line="240" w:lineRule="auto"/>
        <w:jc w:val="both"/>
        <w:rPr>
          <w:rFonts w:asciiTheme="majorBidi" w:hAnsiTheme="majorBidi" w:cstheme="majorBidi"/>
          <w:sz w:val="24"/>
          <w:szCs w:val="24"/>
        </w:rPr>
      </w:pPr>
      <w:bookmarkStart w:id="11" w:name="_Hlk480231768"/>
      <w:r w:rsidRPr="002F46C3">
        <w:rPr>
          <w:rFonts w:asciiTheme="majorBidi" w:hAnsiTheme="majorBidi" w:cstheme="majorBidi"/>
          <w:sz w:val="24"/>
          <w:szCs w:val="24"/>
        </w:rPr>
        <w:t xml:space="preserve">                                               </w:t>
      </w:r>
      <w:r w:rsidR="00466340">
        <w:rPr>
          <w:rFonts w:asciiTheme="majorBidi" w:hAnsiTheme="majorBidi" w:cstheme="majorBidi"/>
          <w:sz w:val="24"/>
          <w:szCs w:val="24"/>
        </w:rPr>
        <w:t xml:space="preserve">   </w:t>
      </w:r>
      <w:r w:rsidRPr="002F46C3">
        <w:rPr>
          <w:rFonts w:asciiTheme="majorBidi" w:hAnsiTheme="majorBidi" w:cstheme="majorBidi"/>
          <w:sz w:val="24"/>
          <w:szCs w:val="24"/>
        </w:rPr>
        <w:t xml:space="preserve">       </w:t>
      </w:r>
      <m:oMath>
        <m:r>
          <w:rPr>
            <w:rFonts w:ascii="Cambria Math" w:hAnsi="Cambria Math" w:cstheme="majorBidi"/>
            <w:sz w:val="24"/>
            <w:szCs w:val="24"/>
          </w:rPr>
          <m:t>HI</m:t>
        </m:r>
        <w:bookmarkEnd w:id="11"/>
        <m:r>
          <w:rPr>
            <w:rFonts w:ascii="Cambria Math" w:hAnsi="Cambria Math" w:cstheme="majorBidi"/>
            <w:sz w:val="24"/>
            <w:szCs w:val="24"/>
          </w:rPr>
          <m:t>=</m:t>
        </m:r>
        <m:nary>
          <m:naryPr>
            <m:chr m:val="∑"/>
            <m:limLoc m:val="undOvr"/>
            <m:subHide m:val="1"/>
            <m:supHide m:val="1"/>
            <m:ctrlPr>
              <w:rPr>
                <w:rFonts w:ascii="Cambria Math" w:hAnsi="Cambria Math" w:cstheme="majorBidi"/>
                <w:i/>
                <w:sz w:val="24"/>
                <w:szCs w:val="24"/>
              </w:rPr>
            </m:ctrlPr>
          </m:naryPr>
          <m:sub/>
          <m:sup/>
          <m:e>
            <m:r>
              <w:rPr>
                <w:rFonts w:ascii="Cambria Math" w:hAnsi="Cambria Math" w:cstheme="majorBidi"/>
                <w:sz w:val="24"/>
                <w:szCs w:val="24"/>
              </w:rPr>
              <m:t>THQ</m:t>
            </m:r>
          </m:e>
        </m:nary>
      </m:oMath>
      <w:r w:rsidRPr="002F46C3">
        <w:rPr>
          <w:rFonts w:asciiTheme="majorBidi" w:hAnsiTheme="majorBidi" w:cstheme="majorBidi"/>
          <w:sz w:val="24"/>
          <w:szCs w:val="24"/>
        </w:rPr>
        <w:t xml:space="preserve">                                </w:t>
      </w:r>
      <w:r w:rsidR="00466340">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211201">
        <w:rPr>
          <w:rFonts w:asciiTheme="majorBidi" w:hAnsiTheme="majorBidi" w:cstheme="majorBidi"/>
          <w:sz w:val="24"/>
          <w:szCs w:val="24"/>
        </w:rPr>
        <w:t>11</w:t>
      </w:r>
      <w:r w:rsidRPr="002F46C3">
        <w:rPr>
          <w:rFonts w:asciiTheme="majorBidi" w:hAnsiTheme="majorBidi" w:cstheme="majorBidi"/>
          <w:sz w:val="24"/>
          <w:szCs w:val="24"/>
        </w:rPr>
        <w:t>)</w:t>
      </w:r>
    </w:p>
    <w:p w:rsidR="002A57F0" w:rsidRDefault="002F46C3" w:rsidP="002A57F0">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Where, </w:t>
      </w:r>
      <m:oMath>
        <m:r>
          <w:rPr>
            <w:rFonts w:ascii="Cambria Math" w:hAnsi="Cambria Math" w:cstheme="majorBidi"/>
            <w:sz w:val="24"/>
            <w:szCs w:val="24"/>
          </w:rPr>
          <m:t xml:space="preserve">THQ </m:t>
        </m:r>
      </m:oMath>
      <w:r w:rsidRPr="002F46C3">
        <w:rPr>
          <w:rFonts w:asciiTheme="majorBidi" w:hAnsiTheme="majorBidi" w:cstheme="majorBidi"/>
          <w:sz w:val="24"/>
          <w:szCs w:val="24"/>
        </w:rPr>
        <w:t xml:space="preserve">and </w:t>
      </w:r>
      <m:oMath>
        <m:r>
          <w:rPr>
            <w:rFonts w:ascii="Cambria Math" w:hAnsi="Cambria Math" w:cstheme="majorBidi"/>
            <w:sz w:val="24"/>
            <w:szCs w:val="24"/>
          </w:rPr>
          <m:t>HI</m:t>
        </m:r>
      </m:oMath>
      <w:r w:rsidRPr="002F46C3">
        <w:rPr>
          <w:rFonts w:asciiTheme="majorBidi" w:hAnsiTheme="majorBidi" w:cstheme="majorBidi"/>
          <w:sz w:val="24"/>
          <w:szCs w:val="24"/>
        </w:rPr>
        <w:t xml:space="preserve"> are total hazard quotient and hazard index, respectively. If the </w:t>
      </w:r>
      <w:r w:rsidRPr="006578B8">
        <w:rPr>
          <w:rFonts w:asciiTheme="majorBidi" w:hAnsiTheme="majorBidi" w:cstheme="majorBidi"/>
          <w:i/>
          <w:iCs/>
          <w:sz w:val="24"/>
          <w:szCs w:val="24"/>
        </w:rPr>
        <w:t>HI</w:t>
      </w:r>
      <w:r w:rsidRPr="002F46C3">
        <w:rPr>
          <w:rFonts w:asciiTheme="majorBidi" w:hAnsiTheme="majorBidi" w:cstheme="majorBidi"/>
          <w:sz w:val="24"/>
          <w:szCs w:val="24"/>
        </w:rPr>
        <w:t xml:space="preserve"> value is less than one (</w:t>
      </w:r>
      <w:r w:rsidRPr="006578B8">
        <w:rPr>
          <w:rFonts w:asciiTheme="majorBidi" w:hAnsiTheme="majorBidi" w:cstheme="majorBidi"/>
          <w:i/>
          <w:iCs/>
          <w:sz w:val="24"/>
          <w:szCs w:val="24"/>
        </w:rPr>
        <w:t>HI</w:t>
      </w:r>
      <w:r w:rsidRPr="002F46C3">
        <w:rPr>
          <w:rFonts w:asciiTheme="majorBidi" w:hAnsiTheme="majorBidi" w:cstheme="majorBidi"/>
          <w:sz w:val="24"/>
          <w:szCs w:val="24"/>
        </w:rPr>
        <w:t xml:space="preserve"> &lt; 1) mean there is no non-carcinogenic adverse effects, if the </w:t>
      </w:r>
      <w:r w:rsidRPr="006578B8">
        <w:rPr>
          <w:rFonts w:asciiTheme="majorBidi" w:hAnsiTheme="majorBidi" w:cstheme="majorBidi"/>
          <w:i/>
          <w:iCs/>
          <w:sz w:val="24"/>
          <w:szCs w:val="24"/>
        </w:rPr>
        <w:t xml:space="preserve">HI </w:t>
      </w:r>
      <w:r w:rsidRPr="002F46C3">
        <w:rPr>
          <w:rFonts w:asciiTheme="majorBidi" w:hAnsiTheme="majorBidi" w:cstheme="majorBidi"/>
          <w:sz w:val="24"/>
          <w:szCs w:val="24"/>
        </w:rPr>
        <w:t>value exceeds one (</w:t>
      </w:r>
      <w:r w:rsidRPr="006578B8">
        <w:rPr>
          <w:rFonts w:asciiTheme="majorBidi" w:hAnsiTheme="majorBidi" w:cstheme="majorBidi"/>
          <w:i/>
          <w:iCs/>
          <w:sz w:val="24"/>
          <w:szCs w:val="24"/>
        </w:rPr>
        <w:t>HI</w:t>
      </w:r>
      <w:r w:rsidRPr="002F46C3">
        <w:rPr>
          <w:rFonts w:asciiTheme="majorBidi" w:hAnsiTheme="majorBidi" w:cstheme="majorBidi"/>
          <w:sz w:val="24"/>
          <w:szCs w:val="24"/>
        </w:rPr>
        <w:t xml:space="preserve"> &gt; 1) mean there is non-carcinogenic effects </w:t>
      </w:r>
      <w:r w:rsidR="00466340">
        <w:rPr>
          <w:rFonts w:asciiTheme="majorBidi" w:hAnsiTheme="majorBidi" w:cstheme="majorBidi"/>
          <w:sz w:val="24"/>
          <w:szCs w:val="24"/>
        </w:rPr>
        <w:t xml:space="preserve">risk </w:t>
      </w:r>
      <w:r w:rsidRPr="002F46C3">
        <w:rPr>
          <w:rFonts w:asciiTheme="majorBidi" w:hAnsiTheme="majorBidi" w:cstheme="majorBidi"/>
          <w:sz w:val="24"/>
          <w:szCs w:val="24"/>
        </w:rPr>
        <w:t>(U.S. EPA, 1989).</w:t>
      </w:r>
    </w:p>
    <w:p w:rsidR="00012029" w:rsidRPr="002F46C3" w:rsidRDefault="00012029" w:rsidP="002A57F0">
      <w:pPr>
        <w:spacing w:line="240" w:lineRule="auto"/>
        <w:jc w:val="both"/>
        <w:rPr>
          <w:rFonts w:asciiTheme="majorBidi" w:hAnsiTheme="majorBidi" w:cstheme="majorBidi"/>
          <w:sz w:val="24"/>
          <w:szCs w:val="24"/>
        </w:rPr>
      </w:pPr>
    </w:p>
    <w:p w:rsidR="003435E8" w:rsidRPr="00C329A3" w:rsidRDefault="003435E8" w:rsidP="005D7FC5">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3.</w:t>
      </w:r>
      <w:r w:rsidR="00DD7564" w:rsidRPr="00C329A3">
        <w:rPr>
          <w:rFonts w:asciiTheme="majorBidi" w:hAnsiTheme="majorBidi" w:cstheme="majorBidi"/>
          <w:b/>
          <w:bCs/>
          <w:i/>
          <w:iCs/>
          <w:sz w:val="24"/>
          <w:szCs w:val="24"/>
        </w:rPr>
        <w:t>4</w:t>
      </w:r>
      <w:r w:rsidRPr="00C329A3">
        <w:rPr>
          <w:rFonts w:asciiTheme="majorBidi" w:hAnsiTheme="majorBidi" w:cstheme="majorBidi"/>
          <w:b/>
          <w:bCs/>
          <w:i/>
          <w:iCs/>
          <w:sz w:val="24"/>
          <w:szCs w:val="24"/>
        </w:rPr>
        <w:t>.</w:t>
      </w:r>
      <w:r w:rsidR="007C0C0B">
        <w:rPr>
          <w:rFonts w:asciiTheme="majorBidi" w:hAnsiTheme="majorBidi" w:cstheme="majorBidi"/>
          <w:b/>
          <w:bCs/>
          <w:i/>
          <w:iCs/>
          <w:sz w:val="24"/>
          <w:szCs w:val="24"/>
        </w:rPr>
        <w:t>3</w:t>
      </w:r>
      <w:r w:rsidRPr="00C329A3">
        <w:rPr>
          <w:rFonts w:asciiTheme="majorBidi" w:hAnsiTheme="majorBidi" w:cstheme="majorBidi"/>
          <w:b/>
          <w:bCs/>
          <w:i/>
          <w:iCs/>
          <w:sz w:val="24"/>
          <w:szCs w:val="24"/>
        </w:rPr>
        <w:t xml:space="preserve">.3 </w:t>
      </w:r>
      <w:r w:rsidR="009561A7" w:rsidRPr="00C329A3">
        <w:rPr>
          <w:rFonts w:asciiTheme="majorBidi" w:hAnsiTheme="majorBidi" w:cstheme="majorBidi"/>
          <w:b/>
          <w:bCs/>
          <w:i/>
          <w:iCs/>
          <w:sz w:val="24"/>
          <w:szCs w:val="24"/>
        </w:rPr>
        <w:t>Carcinogenic Risk Assessment:</w:t>
      </w:r>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Cancer risk estimates the probability of an individual lifetime health risk as a result of exposure to the carcinogens. The cancer risk calculated </w:t>
      </w:r>
      <w:r w:rsidR="007C0C0B">
        <w:rPr>
          <w:rFonts w:asciiTheme="majorBidi" w:hAnsiTheme="majorBidi" w:cstheme="majorBidi"/>
          <w:sz w:val="24"/>
          <w:szCs w:val="24"/>
        </w:rPr>
        <w:t>by</w:t>
      </w:r>
      <w:r w:rsidR="00E506A5">
        <w:rPr>
          <w:rFonts w:asciiTheme="majorBidi" w:hAnsiTheme="majorBidi" w:cstheme="majorBidi"/>
          <w:sz w:val="24"/>
          <w:szCs w:val="24"/>
        </w:rPr>
        <w:t xml:space="preserve"> </w:t>
      </w:r>
      <w:r w:rsidR="007C0C0B">
        <w:rPr>
          <w:rFonts w:asciiTheme="majorBidi" w:hAnsiTheme="majorBidi" w:cstheme="majorBidi"/>
          <w:sz w:val="24"/>
          <w:szCs w:val="24"/>
        </w:rPr>
        <w:t>using the</w:t>
      </w:r>
      <w:r w:rsidRPr="002F46C3">
        <w:rPr>
          <w:rFonts w:asciiTheme="majorBidi" w:hAnsiTheme="majorBidi" w:cstheme="majorBidi"/>
          <w:sz w:val="24"/>
          <w:szCs w:val="24"/>
        </w:rPr>
        <w:t xml:space="preserve"> follow</w:t>
      </w:r>
      <w:r w:rsidR="007C0C0B">
        <w:rPr>
          <w:rFonts w:asciiTheme="majorBidi" w:hAnsiTheme="majorBidi" w:cstheme="majorBidi"/>
          <w:sz w:val="24"/>
          <w:szCs w:val="24"/>
        </w:rPr>
        <w:t xml:space="preserve">ing equation </w:t>
      </w:r>
      <w:r w:rsidR="007C0C0B" w:rsidRPr="002F46C3">
        <w:rPr>
          <w:rFonts w:asciiTheme="majorBidi" w:hAnsiTheme="majorBidi" w:cstheme="majorBidi"/>
          <w:sz w:val="24"/>
          <w:szCs w:val="24"/>
        </w:rPr>
        <w:t>(U.S. EPA, 1989)</w:t>
      </w:r>
      <w:r w:rsidRPr="002F46C3">
        <w:rPr>
          <w:rFonts w:asciiTheme="majorBidi" w:hAnsiTheme="majorBidi" w:cstheme="majorBidi"/>
          <w:sz w:val="24"/>
          <w:szCs w:val="24"/>
        </w:rPr>
        <w:t>,</w:t>
      </w:r>
      <w:r w:rsidR="007C0C0B">
        <w:rPr>
          <w:rFonts w:asciiTheme="majorBidi" w:hAnsiTheme="majorBidi" w:cstheme="majorBidi"/>
          <w:sz w:val="24"/>
          <w:szCs w:val="24"/>
        </w:rPr>
        <w:t xml:space="preserve"> see</w:t>
      </w:r>
      <w:r w:rsidRPr="002F46C3">
        <w:rPr>
          <w:rFonts w:asciiTheme="majorBidi" w:hAnsiTheme="majorBidi" w:cstheme="majorBidi"/>
          <w:sz w:val="24"/>
          <w:szCs w:val="24"/>
        </w:rPr>
        <w:t xml:space="preserve"> (Table </w:t>
      </w:r>
      <w:r w:rsidR="00E506A5">
        <w:rPr>
          <w:rFonts w:asciiTheme="majorBidi" w:hAnsiTheme="majorBidi" w:cstheme="majorBidi"/>
          <w:sz w:val="24"/>
          <w:szCs w:val="24"/>
        </w:rPr>
        <w:t>4</w:t>
      </w:r>
      <w:r w:rsidRPr="002F46C3">
        <w:rPr>
          <w:rFonts w:asciiTheme="majorBidi" w:hAnsiTheme="majorBidi" w:cstheme="majorBidi"/>
          <w:sz w:val="24"/>
          <w:szCs w:val="24"/>
        </w:rPr>
        <w:t>):</w:t>
      </w:r>
      <m:oMath>
        <m:r>
          <w:rPr>
            <w:rFonts w:ascii="Cambria Math" w:hAnsi="Cambria Math" w:cstheme="majorBidi"/>
            <w:sz w:val="24"/>
            <w:szCs w:val="24"/>
          </w:rPr>
          <m:t xml:space="preserve"> </m:t>
        </m:r>
      </m:oMath>
    </w:p>
    <w:p w:rsidR="002F46C3" w:rsidRP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t>
      </w:r>
      <w:r w:rsidR="00F87860">
        <w:rPr>
          <w:rFonts w:asciiTheme="majorBidi" w:hAnsiTheme="majorBidi" w:cstheme="majorBidi"/>
          <w:sz w:val="24"/>
          <w:szCs w:val="24"/>
        </w:rPr>
        <w:t xml:space="preserve">       </w:t>
      </w:r>
      <w:r w:rsidRPr="002F46C3">
        <w:rPr>
          <w:rFonts w:asciiTheme="majorBidi" w:hAnsiTheme="majorBidi" w:cstheme="majorBidi"/>
          <w:sz w:val="24"/>
          <w:szCs w:val="24"/>
        </w:rPr>
        <w:t xml:space="preserve"> </w:t>
      </w:r>
      <m:oMath>
        <m:r>
          <w:rPr>
            <w:rFonts w:ascii="Cambria Math" w:hAnsi="Cambria Math" w:cstheme="majorBidi"/>
            <w:sz w:val="24"/>
            <w:szCs w:val="24"/>
          </w:rPr>
          <m:t>Total Cancer Risk=</m:t>
        </m:r>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ing</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dermal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inh</m:t>
            </m:r>
          </m:sub>
        </m:sSub>
      </m:oMath>
      <w:r w:rsidRPr="002F46C3">
        <w:rPr>
          <w:rFonts w:asciiTheme="majorBidi" w:hAnsiTheme="majorBidi" w:cstheme="majorBidi"/>
          <w:sz w:val="24"/>
          <w:szCs w:val="24"/>
        </w:rPr>
        <w:t xml:space="preserve">   </w:t>
      </w:r>
      <w:r w:rsidR="00F87860">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0226B6">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F87860">
        <w:rPr>
          <w:rFonts w:asciiTheme="majorBidi" w:hAnsiTheme="majorBidi" w:cstheme="majorBidi"/>
          <w:sz w:val="24"/>
          <w:szCs w:val="24"/>
        </w:rPr>
        <w:t xml:space="preserve">           </w:t>
      </w:r>
      <w:r w:rsidR="00F87860" w:rsidRPr="00F87860">
        <w:rPr>
          <w:rFonts w:asciiTheme="majorBidi" w:hAnsiTheme="majorBidi" w:cstheme="majorBidi"/>
          <w:color w:val="FFFFFF" w:themeColor="background1"/>
          <w:sz w:val="24"/>
          <w:szCs w:val="24"/>
        </w:rPr>
        <w:t>.</w:t>
      </w:r>
      <w:r w:rsidR="00F87860">
        <w:rPr>
          <w:rFonts w:asciiTheme="majorBidi" w:hAnsiTheme="majorBidi" w:cstheme="majorBidi"/>
          <w:sz w:val="24"/>
          <w:szCs w:val="24"/>
        </w:rPr>
        <w:t xml:space="preserve">                </w:t>
      </w:r>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ing-c</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CSF</m:t>
            </m:r>
          </m:e>
          <m:sub>
            <m:r>
              <w:rPr>
                <w:rFonts w:ascii="Cambria Math" w:hAnsi="Cambria Math" w:cstheme="majorBidi"/>
                <w:sz w:val="24"/>
                <w:szCs w:val="24"/>
              </w:rPr>
              <m:t>ing</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dermal-c</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CSF</m:t>
            </m:r>
          </m:e>
          <m:sub>
            <m:r>
              <w:rPr>
                <w:rFonts w:ascii="Cambria Math" w:hAnsi="Cambria Math" w:cstheme="majorBidi"/>
                <w:sz w:val="24"/>
                <w:szCs w:val="24"/>
              </w:rPr>
              <m:t>dermal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CDI</m:t>
            </m:r>
          </m:e>
          <m:sub>
            <m:r>
              <w:rPr>
                <w:rFonts w:ascii="Cambria Math" w:hAnsi="Cambria Math" w:cstheme="majorBidi"/>
                <w:sz w:val="24"/>
                <w:szCs w:val="24"/>
              </w:rPr>
              <m:t>inh-c</m:t>
            </m:r>
          </m:sub>
        </m:sSub>
        <m:r>
          <w:rPr>
            <w:rFonts w:ascii="Cambria Math" w:hAnsi="Cambria Math" w:cstheme="majorBidi"/>
            <w:sz w:val="24"/>
            <w:szCs w:val="24"/>
          </w:rPr>
          <m:t>*IUR</m:t>
        </m:r>
      </m:oMath>
      <w:r w:rsidRPr="002F46C3">
        <w:rPr>
          <w:rFonts w:asciiTheme="majorBidi" w:hAnsiTheme="majorBidi" w:cstheme="majorBidi"/>
          <w:sz w:val="24"/>
          <w:szCs w:val="24"/>
        </w:rPr>
        <w:t xml:space="preserve">    </w:t>
      </w:r>
      <w:r w:rsidR="00F87860">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8C1CBF">
        <w:rPr>
          <w:rFonts w:asciiTheme="majorBidi" w:hAnsiTheme="majorBidi" w:cstheme="majorBidi"/>
          <w:sz w:val="24"/>
          <w:szCs w:val="24"/>
        </w:rPr>
        <w:t xml:space="preserve">   </w:t>
      </w:r>
      <w:r w:rsidRPr="002F46C3">
        <w:rPr>
          <w:rFonts w:asciiTheme="majorBidi" w:hAnsiTheme="majorBidi" w:cstheme="majorBidi"/>
          <w:sz w:val="24"/>
          <w:szCs w:val="24"/>
        </w:rPr>
        <w:t xml:space="preserve">    (</w:t>
      </w:r>
      <w:r w:rsidR="007C0C0B">
        <w:rPr>
          <w:rFonts w:asciiTheme="majorBidi" w:hAnsiTheme="majorBidi" w:cstheme="majorBidi"/>
          <w:sz w:val="24"/>
          <w:szCs w:val="24"/>
        </w:rPr>
        <w:t>12</w:t>
      </w:r>
    </w:p>
    <w:p w:rsidR="002F46C3" w:rsidRDefault="002F46C3" w:rsidP="002F46C3">
      <w:pPr>
        <w:spacing w:line="240" w:lineRule="auto"/>
        <w:jc w:val="both"/>
        <w:rPr>
          <w:rFonts w:asciiTheme="majorBidi" w:hAnsiTheme="majorBidi" w:cstheme="majorBidi"/>
          <w:sz w:val="24"/>
          <w:szCs w:val="24"/>
        </w:rPr>
      </w:pPr>
      <w:r w:rsidRPr="002F46C3">
        <w:rPr>
          <w:rFonts w:asciiTheme="majorBidi" w:hAnsiTheme="majorBidi" w:cstheme="majorBidi"/>
          <w:sz w:val="24"/>
          <w:szCs w:val="24"/>
        </w:rPr>
        <w:t xml:space="preserve">    Where: </w:t>
      </w:r>
      <m:oMath>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dermal</m:t>
            </m:r>
          </m:sub>
        </m:sSub>
      </m:oMath>
      <w:r w:rsidRPr="002F46C3">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Risk</m:t>
            </m:r>
          </m:e>
          <m:sub>
            <m:r>
              <w:rPr>
                <w:rFonts w:ascii="Cambria Math" w:hAnsi="Cambria Math" w:cstheme="majorBidi"/>
                <w:sz w:val="24"/>
                <w:szCs w:val="24"/>
              </w:rPr>
              <m:t>inh</m:t>
            </m:r>
          </m:sub>
        </m:sSub>
      </m:oMath>
      <w:r w:rsidRPr="002F46C3">
        <w:rPr>
          <w:rFonts w:asciiTheme="majorBidi" w:hAnsiTheme="majorBidi" w:cstheme="majorBidi"/>
          <w:sz w:val="24"/>
          <w:szCs w:val="24"/>
        </w:rPr>
        <w:t xml:space="preserve"> are cancer risks through ingestion, dermal, and inhalation pathways,  </w:t>
      </w:r>
      <m:oMath>
        <m:sSub>
          <m:sSubPr>
            <m:ctrlPr>
              <w:rPr>
                <w:rFonts w:ascii="Cambria Math" w:hAnsi="Cambria Math" w:cstheme="majorBidi"/>
                <w:i/>
                <w:sz w:val="24"/>
                <w:szCs w:val="24"/>
              </w:rPr>
            </m:ctrlPr>
          </m:sSubPr>
          <m:e>
            <m:r>
              <w:rPr>
                <w:rFonts w:ascii="Cambria Math" w:hAnsi="Cambria Math" w:cstheme="majorBidi"/>
                <w:sz w:val="24"/>
                <w:szCs w:val="24"/>
              </w:rPr>
              <m:t>CSF</m:t>
            </m:r>
          </m:e>
          <m:sub>
            <m:r>
              <w:rPr>
                <w:rFonts w:ascii="Cambria Math" w:hAnsi="Cambria Math" w:cstheme="majorBidi"/>
                <w:sz w:val="24"/>
                <w:szCs w:val="24"/>
              </w:rPr>
              <m:t>ing</m:t>
            </m:r>
          </m:sub>
        </m:sSub>
      </m:oMath>
      <w:r w:rsidRPr="002F46C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CSF</m:t>
            </m:r>
          </m:e>
          <m:sub>
            <m:r>
              <w:rPr>
                <w:rFonts w:ascii="Cambria Math" w:hAnsi="Cambria Math" w:cstheme="majorBidi"/>
                <w:sz w:val="24"/>
                <w:szCs w:val="24"/>
              </w:rPr>
              <m:t>dermal</m:t>
            </m:r>
          </m:sub>
        </m:sSub>
      </m:oMath>
      <w:r w:rsidRPr="002F46C3">
        <w:rPr>
          <w:rFonts w:asciiTheme="majorBidi" w:hAnsiTheme="majorBidi" w:cstheme="majorBidi"/>
          <w:sz w:val="24"/>
          <w:szCs w:val="24"/>
        </w:rPr>
        <w:t xml:space="preserve">, and </w:t>
      </w:r>
      <m:oMath>
        <m:r>
          <w:rPr>
            <w:rFonts w:ascii="Cambria Math" w:hAnsi="Cambria Math" w:cstheme="majorBidi"/>
            <w:sz w:val="24"/>
            <w:szCs w:val="24"/>
          </w:rPr>
          <m:t>IUR</m:t>
        </m:r>
      </m:oMath>
      <w:r w:rsidRPr="002F46C3">
        <w:rPr>
          <w:rFonts w:asciiTheme="majorBidi" w:hAnsiTheme="majorBidi" w:cstheme="majorBidi"/>
          <w:sz w:val="24"/>
          <w:szCs w:val="24"/>
        </w:rPr>
        <w:t xml:space="preserve"> are ingestion chronic slope factor (mg/kg-day)</w:t>
      </w:r>
      <w:r w:rsidRPr="002F46C3">
        <w:rPr>
          <w:rFonts w:asciiTheme="majorBidi" w:hAnsiTheme="majorBidi" w:cstheme="majorBidi"/>
          <w:sz w:val="24"/>
          <w:szCs w:val="24"/>
          <w:vertAlign w:val="superscript"/>
        </w:rPr>
        <w:t>-1</w:t>
      </w:r>
      <w:r w:rsidRPr="002F46C3">
        <w:rPr>
          <w:rFonts w:asciiTheme="majorBidi" w:hAnsiTheme="majorBidi" w:cstheme="majorBidi"/>
          <w:sz w:val="24"/>
          <w:szCs w:val="24"/>
        </w:rPr>
        <w:t>, dermal chronic slope factor (</w:t>
      </w:r>
      <m:oMath>
        <m:sSub>
          <m:sSubPr>
            <m:ctrlPr>
              <w:rPr>
                <w:rFonts w:ascii="Cambria Math" w:hAnsi="Cambria Math" w:cstheme="majorBidi"/>
                <w:i/>
                <w:sz w:val="24"/>
                <w:szCs w:val="24"/>
              </w:rPr>
            </m:ctrlPr>
          </m:sSubPr>
          <m:e>
            <m:r>
              <w:rPr>
                <w:rFonts w:ascii="Cambria Math" w:hAnsi="Cambria Math" w:cstheme="majorBidi"/>
                <w:sz w:val="24"/>
                <w:szCs w:val="24"/>
              </w:rPr>
              <m:t>CSF</m:t>
            </m:r>
          </m:e>
          <m:sub>
            <m:r>
              <w:rPr>
                <w:rFonts w:ascii="Cambria Math" w:hAnsi="Cambria Math" w:cstheme="majorBidi"/>
                <w:sz w:val="24"/>
                <w:szCs w:val="24"/>
              </w:rPr>
              <m:t>ing</m:t>
            </m:r>
          </m:sub>
        </m:sSub>
      </m:oMath>
      <w:r w:rsidRPr="002F46C3">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ABS</m:t>
            </m:r>
          </m:e>
          <m:sub>
            <m:r>
              <w:rPr>
                <w:rFonts w:ascii="Cambria Math" w:hAnsi="Cambria Math" w:cstheme="majorBidi"/>
                <w:sz w:val="24"/>
                <w:szCs w:val="24"/>
              </w:rPr>
              <m:t>GI</m:t>
            </m:r>
          </m:sub>
        </m:sSub>
      </m:oMath>
      <w:r w:rsidRPr="002F46C3">
        <w:rPr>
          <w:rFonts w:asciiTheme="majorBidi" w:hAnsiTheme="majorBidi" w:cstheme="majorBidi"/>
          <w:sz w:val="24"/>
          <w:szCs w:val="24"/>
        </w:rPr>
        <w:t>) (mg/kg-day)</w:t>
      </w:r>
      <w:r w:rsidRPr="002F46C3">
        <w:rPr>
          <w:rFonts w:asciiTheme="majorBidi" w:hAnsiTheme="majorBidi" w:cstheme="majorBidi"/>
          <w:sz w:val="24"/>
          <w:szCs w:val="24"/>
          <w:vertAlign w:val="superscript"/>
        </w:rPr>
        <w:t>-1</w:t>
      </w:r>
      <w:r w:rsidRPr="002F46C3">
        <w:rPr>
          <w:rFonts w:asciiTheme="majorBidi" w:hAnsiTheme="majorBidi" w:cstheme="majorBidi"/>
          <w:sz w:val="24"/>
          <w:szCs w:val="24"/>
        </w:rPr>
        <w:t>, and inhalation unit risk (</w:t>
      </w:r>
      <m:oMath>
        <m:r>
          <w:rPr>
            <w:rFonts w:ascii="Cambria Math" w:hAnsi="Cambria Math" w:cstheme="majorBidi"/>
            <w:sz w:val="24"/>
            <w:szCs w:val="24"/>
          </w:rPr>
          <m:t>µ</m:t>
        </m:r>
      </m:oMath>
      <w:r w:rsidRPr="002F46C3">
        <w:rPr>
          <w:rFonts w:asciiTheme="majorBidi" w:hAnsiTheme="majorBidi" w:cstheme="majorBidi"/>
          <w:sz w:val="24"/>
          <w:szCs w:val="24"/>
        </w:rPr>
        <w:t>g/m</w:t>
      </w:r>
      <w:r w:rsidRPr="002F46C3">
        <w:rPr>
          <w:rFonts w:asciiTheme="majorBidi" w:hAnsiTheme="majorBidi" w:cstheme="majorBidi"/>
          <w:sz w:val="24"/>
          <w:szCs w:val="24"/>
          <w:vertAlign w:val="superscript"/>
        </w:rPr>
        <w:t>3</w:t>
      </w:r>
      <w:r w:rsidRPr="002F46C3">
        <w:rPr>
          <w:rFonts w:asciiTheme="majorBidi" w:hAnsiTheme="majorBidi" w:cstheme="majorBidi"/>
          <w:sz w:val="24"/>
          <w:szCs w:val="24"/>
        </w:rPr>
        <w:t>)</w:t>
      </w:r>
      <w:r w:rsidRPr="002F46C3">
        <w:rPr>
          <w:rFonts w:asciiTheme="majorBidi" w:hAnsiTheme="majorBidi" w:cstheme="majorBidi"/>
          <w:sz w:val="24"/>
          <w:szCs w:val="24"/>
          <w:vertAlign w:val="superscript"/>
        </w:rPr>
        <w:t>-1</w:t>
      </w:r>
      <w:r w:rsidRPr="002F46C3">
        <w:rPr>
          <w:rFonts w:asciiTheme="majorBidi" w:hAnsiTheme="majorBidi" w:cstheme="majorBidi"/>
          <w:sz w:val="24"/>
          <w:szCs w:val="24"/>
        </w:rPr>
        <w:t>, respectively. The acceptable or tolerable total risk for regulatory purposes is in the range of (10</w:t>
      </w:r>
      <w:r w:rsidRPr="002F46C3">
        <w:rPr>
          <w:rFonts w:asciiTheme="majorBidi" w:hAnsiTheme="majorBidi" w:cstheme="majorBidi"/>
          <w:sz w:val="24"/>
          <w:szCs w:val="24"/>
          <w:vertAlign w:val="superscript"/>
        </w:rPr>
        <w:t>-6</w:t>
      </w:r>
      <w:r w:rsidRPr="002F46C3">
        <w:rPr>
          <w:rFonts w:asciiTheme="majorBidi" w:hAnsiTheme="majorBidi" w:cstheme="majorBidi"/>
          <w:sz w:val="24"/>
          <w:szCs w:val="24"/>
        </w:rPr>
        <w:t xml:space="preserve"> – 10</w:t>
      </w:r>
      <w:r w:rsidRPr="002F46C3">
        <w:rPr>
          <w:rFonts w:asciiTheme="majorBidi" w:hAnsiTheme="majorBidi" w:cstheme="majorBidi"/>
          <w:sz w:val="24"/>
          <w:szCs w:val="24"/>
          <w:vertAlign w:val="superscript"/>
        </w:rPr>
        <w:t>-4</w:t>
      </w:r>
      <w:r w:rsidRPr="002F46C3">
        <w:rPr>
          <w:rFonts w:asciiTheme="majorBidi" w:hAnsiTheme="majorBidi" w:cstheme="majorBidi"/>
          <w:sz w:val="24"/>
          <w:szCs w:val="24"/>
        </w:rPr>
        <w:t>), (U.S. EPA, 2004; MOE, 2009).</w:t>
      </w:r>
    </w:p>
    <w:p w:rsidR="00012029" w:rsidRDefault="00012029" w:rsidP="002F46C3">
      <w:pPr>
        <w:spacing w:line="240" w:lineRule="auto"/>
        <w:jc w:val="both"/>
        <w:rPr>
          <w:rFonts w:asciiTheme="majorBidi" w:hAnsiTheme="majorBidi" w:cstheme="majorBidi"/>
          <w:sz w:val="24"/>
          <w:szCs w:val="24"/>
        </w:rPr>
      </w:pPr>
    </w:p>
    <w:p w:rsidR="005D7FC5" w:rsidRPr="00A36ED2" w:rsidRDefault="00A36ED2" w:rsidP="00E80D26">
      <w:pPr>
        <w:spacing w:line="240" w:lineRule="auto"/>
        <w:rPr>
          <w:rFonts w:asciiTheme="majorBidi" w:hAnsiTheme="majorBidi" w:cstheme="majorBidi"/>
          <w:sz w:val="22"/>
          <w:szCs w:val="22"/>
        </w:rPr>
      </w:pPr>
      <w:r>
        <w:rPr>
          <w:rFonts w:asciiTheme="majorBidi" w:hAnsiTheme="majorBidi" w:cstheme="majorBidi"/>
          <w:b/>
          <w:bCs/>
          <w:sz w:val="22"/>
          <w:szCs w:val="22"/>
        </w:rPr>
        <w:t xml:space="preserve">       </w:t>
      </w:r>
      <w:r w:rsidR="00E044FA">
        <w:rPr>
          <w:rFonts w:asciiTheme="majorBidi" w:hAnsiTheme="majorBidi" w:cstheme="majorBidi"/>
          <w:b/>
          <w:bCs/>
          <w:sz w:val="22"/>
          <w:szCs w:val="22"/>
        </w:rPr>
        <w:t xml:space="preserve">         </w:t>
      </w:r>
      <w:r>
        <w:rPr>
          <w:rFonts w:asciiTheme="majorBidi" w:hAnsiTheme="majorBidi" w:cstheme="majorBidi"/>
          <w:b/>
          <w:bCs/>
          <w:sz w:val="22"/>
          <w:szCs w:val="22"/>
        </w:rPr>
        <w:t xml:space="preserve"> </w:t>
      </w:r>
      <w:r w:rsidR="005D7FC5" w:rsidRPr="00A36ED2">
        <w:rPr>
          <w:rFonts w:asciiTheme="majorBidi" w:hAnsiTheme="majorBidi" w:cstheme="majorBidi"/>
          <w:b/>
          <w:bCs/>
          <w:sz w:val="22"/>
          <w:szCs w:val="22"/>
        </w:rPr>
        <w:t xml:space="preserve">Table </w:t>
      </w:r>
      <w:r w:rsidR="00393805">
        <w:rPr>
          <w:rFonts w:asciiTheme="majorBidi" w:hAnsiTheme="majorBidi" w:cstheme="majorBidi"/>
          <w:b/>
          <w:bCs/>
          <w:sz w:val="22"/>
          <w:szCs w:val="22"/>
        </w:rPr>
        <w:t>4</w:t>
      </w:r>
      <w:r w:rsidR="005D7FC5" w:rsidRPr="00A36ED2">
        <w:rPr>
          <w:rFonts w:asciiTheme="majorBidi" w:hAnsiTheme="majorBidi" w:cstheme="majorBidi"/>
          <w:b/>
          <w:bCs/>
          <w:sz w:val="22"/>
          <w:szCs w:val="22"/>
        </w:rPr>
        <w:t xml:space="preserve"> </w:t>
      </w:r>
      <w:r w:rsidR="005D7FC5" w:rsidRPr="00A36ED2">
        <w:rPr>
          <w:rFonts w:asciiTheme="majorBidi" w:hAnsiTheme="majorBidi" w:cstheme="majorBidi"/>
          <w:sz w:val="22"/>
          <w:szCs w:val="22"/>
        </w:rPr>
        <w:t>Parameters Used for the</w:t>
      </w:r>
      <w:r w:rsidR="00314D42">
        <w:rPr>
          <w:rFonts w:asciiTheme="majorBidi" w:hAnsiTheme="majorBidi" w:cstheme="majorBidi"/>
          <w:sz w:val="22"/>
          <w:szCs w:val="22"/>
        </w:rPr>
        <w:t xml:space="preserve"> Non-carcinogenic Hazard and Carcinogenic</w:t>
      </w:r>
      <w:r w:rsidR="005D7FC5" w:rsidRPr="00A36ED2">
        <w:rPr>
          <w:rFonts w:asciiTheme="majorBidi" w:hAnsiTheme="majorBidi" w:cstheme="majorBidi"/>
          <w:sz w:val="22"/>
          <w:szCs w:val="22"/>
        </w:rPr>
        <w:t xml:space="preserve"> Risk </w:t>
      </w:r>
      <w:r w:rsidR="00314D42" w:rsidRPr="009D5BE1">
        <w:rPr>
          <w:rFonts w:asciiTheme="majorBidi" w:hAnsiTheme="majorBidi" w:cstheme="majorBidi"/>
          <w:noProof/>
          <w:color w:val="FFFFFF" w:themeColor="background1"/>
          <w:sz w:val="22"/>
          <w:szCs w:val="22"/>
        </w:rPr>
        <w:t xml:space="preserve">. </w:t>
      </w:r>
      <w:r w:rsidR="00E80D26" w:rsidRPr="009D5BE1">
        <w:rPr>
          <w:rFonts w:asciiTheme="majorBidi" w:hAnsiTheme="majorBidi" w:cstheme="majorBidi"/>
          <w:noProof/>
          <w:sz w:val="22"/>
          <w:szCs w:val="22"/>
        </w:rPr>
        <w:t xml:space="preserve">                          </w:t>
      </w:r>
      <w:r w:rsidR="00E80D26" w:rsidRPr="009D5BE1">
        <w:rPr>
          <w:rFonts w:asciiTheme="majorBidi" w:hAnsiTheme="majorBidi" w:cstheme="majorBidi"/>
          <w:noProof/>
          <w:color w:val="FFFFFF" w:themeColor="background1"/>
          <w:sz w:val="22"/>
          <w:szCs w:val="22"/>
        </w:rPr>
        <w:t>.</w:t>
      </w:r>
      <w:r w:rsidR="00E80D26">
        <w:rPr>
          <w:rFonts w:asciiTheme="majorBidi" w:hAnsiTheme="majorBidi" w:cstheme="majorBidi"/>
          <w:sz w:val="22"/>
          <w:szCs w:val="22"/>
        </w:rPr>
        <w:t xml:space="preserve">                </w:t>
      </w:r>
      <w:r w:rsidR="005D7FC5" w:rsidRPr="00A36ED2">
        <w:rPr>
          <w:rFonts w:asciiTheme="majorBidi" w:hAnsiTheme="majorBidi" w:cstheme="majorBidi"/>
          <w:sz w:val="22"/>
          <w:szCs w:val="22"/>
        </w:rPr>
        <w:t xml:space="preserve">Assessment of Study Area Soil </w:t>
      </w:r>
      <w:r w:rsidR="005D7FC5" w:rsidRPr="00A971F7">
        <w:rPr>
          <w:rFonts w:asciiTheme="majorBidi" w:hAnsiTheme="majorBidi" w:cstheme="majorBidi"/>
          <w:noProof/>
          <w:sz w:val="22"/>
          <w:szCs w:val="22"/>
        </w:rPr>
        <w:t>for</w:t>
      </w:r>
      <w:r w:rsidR="00E044FA">
        <w:rPr>
          <w:rFonts w:asciiTheme="majorBidi" w:hAnsiTheme="majorBidi" w:cstheme="majorBidi"/>
          <w:sz w:val="22"/>
          <w:szCs w:val="22"/>
        </w:rPr>
        <w:t xml:space="preserve"> </w:t>
      </w:r>
      <w:r w:rsidR="005D7FC5" w:rsidRPr="00A36ED2">
        <w:rPr>
          <w:rFonts w:asciiTheme="majorBidi" w:hAnsiTheme="majorBidi" w:cstheme="majorBidi"/>
          <w:sz w:val="22"/>
          <w:szCs w:val="22"/>
        </w:rPr>
        <w:t>Adult</w:t>
      </w:r>
      <w:r w:rsidR="00E044FA">
        <w:rPr>
          <w:rFonts w:asciiTheme="majorBidi" w:hAnsiTheme="majorBidi" w:cstheme="majorBidi"/>
          <w:sz w:val="22"/>
          <w:szCs w:val="22"/>
        </w:rPr>
        <w:t xml:space="preserve"> </w:t>
      </w:r>
      <w:r w:rsidR="00DE6921">
        <w:rPr>
          <w:rFonts w:asciiTheme="majorBidi" w:hAnsiTheme="majorBidi" w:cstheme="majorBidi"/>
          <w:sz w:val="22"/>
          <w:szCs w:val="22"/>
        </w:rPr>
        <w:t>and</w:t>
      </w:r>
      <w:r>
        <w:rPr>
          <w:rFonts w:asciiTheme="majorBidi" w:hAnsiTheme="majorBidi" w:cstheme="majorBidi"/>
          <w:sz w:val="22"/>
          <w:szCs w:val="22"/>
        </w:rPr>
        <w:t xml:space="preserve"> </w:t>
      </w:r>
      <w:r w:rsidR="005D7FC5" w:rsidRPr="00A36ED2">
        <w:rPr>
          <w:rFonts w:asciiTheme="majorBidi" w:hAnsiTheme="majorBidi" w:cstheme="majorBidi"/>
          <w:sz w:val="22"/>
          <w:szCs w:val="22"/>
        </w:rPr>
        <w:t xml:space="preserve">Children. (U.S. EPA, 2017). </w:t>
      </w: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0"/>
        <w:gridCol w:w="875"/>
        <w:gridCol w:w="1101"/>
        <w:gridCol w:w="879"/>
        <w:gridCol w:w="900"/>
        <w:gridCol w:w="1170"/>
        <w:gridCol w:w="900"/>
        <w:gridCol w:w="730"/>
      </w:tblGrid>
      <w:tr w:rsidR="00E044FA" w:rsidRPr="00B70D41" w:rsidTr="000E4C9C">
        <w:trPr>
          <w:trHeight w:val="144"/>
          <w:jc w:val="center"/>
        </w:trPr>
        <w:tc>
          <w:tcPr>
            <w:tcW w:w="730" w:type="dxa"/>
            <w:tcBorders>
              <w:top w:val="single" w:sz="12" w:space="0" w:color="auto"/>
              <w:bottom w:val="single" w:sz="12" w:space="0" w:color="auto"/>
              <w:right w:val="single" w:sz="12" w:space="0" w:color="auto"/>
            </w:tcBorders>
            <w:shd w:val="clear" w:color="auto" w:fill="C00000"/>
          </w:tcPr>
          <w:p w:rsidR="00E044FA" w:rsidRPr="00B70D41" w:rsidRDefault="00E044FA" w:rsidP="00E044FA">
            <w:pPr>
              <w:jc w:val="center"/>
              <w:rPr>
                <w:rFonts w:asciiTheme="majorBidi" w:hAnsiTheme="majorBidi" w:cstheme="majorBidi"/>
                <w:sz w:val="22"/>
                <w:szCs w:val="22"/>
              </w:rPr>
            </w:pPr>
            <w:bookmarkStart w:id="12" w:name="_Hlk487293908"/>
            <w:r w:rsidRPr="00B70D41">
              <w:rPr>
                <w:rFonts w:asciiTheme="majorBidi" w:hAnsiTheme="majorBidi" w:cstheme="majorBidi"/>
                <w:sz w:val="22"/>
                <w:szCs w:val="22"/>
              </w:rPr>
              <w:t>Metal</w:t>
            </w:r>
          </w:p>
        </w:tc>
        <w:tc>
          <w:tcPr>
            <w:tcW w:w="875" w:type="dxa"/>
            <w:tcBorders>
              <w:top w:val="single" w:sz="12" w:space="0" w:color="auto"/>
              <w:left w:val="single" w:sz="12" w:space="0" w:color="auto"/>
              <w:bottom w:val="single" w:sz="12" w:space="0" w:color="auto"/>
              <w:right w:val="single" w:sz="12" w:space="0" w:color="auto"/>
            </w:tcBorders>
            <w:shd w:val="clear" w:color="auto" w:fill="C00000"/>
          </w:tcPr>
          <w:p w:rsidR="00E044FA" w:rsidRPr="00A36ED2" w:rsidRDefault="00CC313B" w:rsidP="00E044FA">
            <w:pPr>
              <w:jc w:val="center"/>
              <w:rPr>
                <w:rFonts w:asciiTheme="majorBidi" w:hAnsiTheme="majorBidi" w:cstheme="majorBidi"/>
                <w:sz w:val="20"/>
                <w:szCs w:val="20"/>
              </w:rPr>
            </w:pPr>
            <m:oMathPara>
              <m:oMath>
                <m:sSub>
                  <m:sSubPr>
                    <m:ctrlPr>
                      <w:rPr>
                        <w:rFonts w:ascii="Cambria Math" w:hAnsi="Cambria Math" w:cstheme="majorBidi"/>
                        <w:i/>
                        <w:sz w:val="20"/>
                        <w:szCs w:val="20"/>
                      </w:rPr>
                    </m:ctrlPr>
                  </m:sSubPr>
                  <m:e>
                    <m:r>
                      <w:rPr>
                        <w:rFonts w:ascii="Cambria Math" w:hAnsi="Cambria Math" w:cstheme="majorBidi"/>
                        <w:sz w:val="20"/>
                        <w:szCs w:val="20"/>
                      </w:rPr>
                      <m:t>RfD</m:t>
                    </m:r>
                  </m:e>
                  <m:sub>
                    <m:r>
                      <w:rPr>
                        <w:rFonts w:ascii="Cambria Math" w:hAnsi="Cambria Math" w:cstheme="majorBidi"/>
                        <w:sz w:val="20"/>
                        <w:szCs w:val="20"/>
                      </w:rPr>
                      <m:t>ing</m:t>
                    </m:r>
                  </m:sub>
                </m:sSub>
              </m:oMath>
            </m:oMathPara>
          </w:p>
        </w:tc>
        <w:tc>
          <w:tcPr>
            <w:tcW w:w="1101" w:type="dxa"/>
            <w:tcBorders>
              <w:top w:val="single" w:sz="12" w:space="0" w:color="auto"/>
              <w:left w:val="single" w:sz="12" w:space="0" w:color="auto"/>
              <w:bottom w:val="single" w:sz="12" w:space="0" w:color="auto"/>
              <w:right w:val="single" w:sz="12" w:space="0" w:color="auto"/>
            </w:tcBorders>
            <w:shd w:val="clear" w:color="auto" w:fill="C00000"/>
          </w:tcPr>
          <w:p w:rsidR="00E044FA" w:rsidRPr="00A36ED2" w:rsidRDefault="00CC313B" w:rsidP="00E044FA">
            <w:pPr>
              <w:jc w:val="center"/>
              <w:rPr>
                <w:rFonts w:asciiTheme="majorBidi" w:hAnsiTheme="majorBidi" w:cstheme="majorBidi"/>
                <w:i/>
                <w:iCs/>
                <w:sz w:val="20"/>
                <w:szCs w:val="20"/>
              </w:rPr>
            </w:pPr>
            <m:oMathPara>
              <m:oMath>
                <m:sSub>
                  <m:sSubPr>
                    <m:ctrlPr>
                      <w:rPr>
                        <w:rFonts w:ascii="Cambria Math" w:hAnsi="Cambria Math" w:cstheme="majorBidi"/>
                        <w:i/>
                        <w:iCs/>
                        <w:sz w:val="20"/>
                        <w:szCs w:val="20"/>
                      </w:rPr>
                    </m:ctrlPr>
                  </m:sSubPr>
                  <m:e>
                    <m:r>
                      <w:rPr>
                        <w:rFonts w:ascii="Cambria Math" w:hAnsi="Cambria Math" w:cstheme="majorBidi"/>
                        <w:sz w:val="20"/>
                        <w:szCs w:val="20"/>
                      </w:rPr>
                      <m:t>RfD</m:t>
                    </m:r>
                  </m:e>
                  <m:sub>
                    <m:r>
                      <w:rPr>
                        <w:rFonts w:ascii="Cambria Math" w:hAnsi="Cambria Math" w:cstheme="majorBidi"/>
                        <w:sz w:val="20"/>
                        <w:szCs w:val="20"/>
                      </w:rPr>
                      <m:t>dermal</m:t>
                    </m:r>
                  </m:sub>
                </m:sSub>
              </m:oMath>
            </m:oMathPara>
          </w:p>
        </w:tc>
        <w:tc>
          <w:tcPr>
            <w:tcW w:w="879" w:type="dxa"/>
            <w:tcBorders>
              <w:top w:val="single" w:sz="12" w:space="0" w:color="auto"/>
              <w:left w:val="single" w:sz="12" w:space="0" w:color="auto"/>
              <w:bottom w:val="single" w:sz="12" w:space="0" w:color="auto"/>
              <w:right w:val="single" w:sz="12" w:space="0" w:color="auto"/>
            </w:tcBorders>
            <w:shd w:val="clear" w:color="auto" w:fill="C00000"/>
          </w:tcPr>
          <w:p w:rsidR="00E044FA" w:rsidRPr="00A36ED2" w:rsidRDefault="00CC313B" w:rsidP="00E044FA">
            <w:pPr>
              <w:jc w:val="center"/>
              <w:rPr>
                <w:rFonts w:asciiTheme="majorBidi" w:hAnsiTheme="majorBidi" w:cstheme="majorBidi"/>
                <w:i/>
                <w:iCs/>
                <w:sz w:val="20"/>
                <w:szCs w:val="20"/>
              </w:rPr>
            </w:pPr>
            <m:oMathPara>
              <m:oMath>
                <m:sSub>
                  <m:sSubPr>
                    <m:ctrlPr>
                      <w:rPr>
                        <w:rFonts w:ascii="Cambria Math" w:hAnsi="Cambria Math" w:cstheme="majorBidi"/>
                        <w:i/>
                        <w:iCs/>
                        <w:sz w:val="20"/>
                        <w:szCs w:val="20"/>
                      </w:rPr>
                    </m:ctrlPr>
                  </m:sSubPr>
                  <m:e>
                    <m:r>
                      <w:rPr>
                        <w:rFonts w:ascii="Cambria Math" w:hAnsi="Cambria Math" w:cstheme="majorBidi"/>
                        <w:sz w:val="20"/>
                        <w:szCs w:val="20"/>
                      </w:rPr>
                      <m:t>RfC</m:t>
                    </m:r>
                  </m:e>
                  <m:sub>
                    <m:r>
                      <w:rPr>
                        <w:rFonts w:ascii="Cambria Math" w:hAnsi="Cambria Math" w:cstheme="majorBidi"/>
                        <w:sz w:val="20"/>
                        <w:szCs w:val="20"/>
                      </w:rPr>
                      <m:t>inh</m:t>
                    </m:r>
                  </m:sub>
                </m:sSub>
              </m:oMath>
            </m:oMathPara>
          </w:p>
        </w:tc>
        <w:tc>
          <w:tcPr>
            <w:tcW w:w="900" w:type="dxa"/>
            <w:tcBorders>
              <w:top w:val="single" w:sz="12" w:space="0" w:color="auto"/>
              <w:left w:val="single" w:sz="12" w:space="0" w:color="auto"/>
              <w:bottom w:val="single" w:sz="12" w:space="0" w:color="auto"/>
            </w:tcBorders>
            <w:shd w:val="clear" w:color="auto" w:fill="C00000"/>
          </w:tcPr>
          <w:p w:rsidR="00E044FA" w:rsidRPr="00A36ED2" w:rsidRDefault="00CC313B" w:rsidP="00E044FA">
            <w:pPr>
              <w:jc w:val="center"/>
              <w:rPr>
                <w:rFonts w:asciiTheme="majorBidi" w:hAnsiTheme="majorBidi" w:cstheme="majorBidi"/>
                <w:sz w:val="20"/>
                <w:szCs w:val="20"/>
              </w:rPr>
            </w:pPr>
            <m:oMathPara>
              <m:oMath>
                <m:sSub>
                  <m:sSubPr>
                    <m:ctrlPr>
                      <w:rPr>
                        <w:rFonts w:ascii="Cambria Math" w:hAnsi="Cambria Math" w:cstheme="majorBidi"/>
                        <w:i/>
                        <w:sz w:val="20"/>
                        <w:szCs w:val="20"/>
                      </w:rPr>
                    </m:ctrlPr>
                  </m:sSubPr>
                  <m:e>
                    <m:r>
                      <w:rPr>
                        <w:rFonts w:ascii="Cambria Math" w:hAnsi="Cambria Math" w:cstheme="majorBidi"/>
                        <w:sz w:val="20"/>
                        <w:szCs w:val="20"/>
                      </w:rPr>
                      <m:t>CSF</m:t>
                    </m:r>
                  </m:e>
                  <m:sub>
                    <m:r>
                      <w:rPr>
                        <w:rFonts w:ascii="Cambria Math" w:hAnsi="Cambria Math" w:cstheme="majorBidi"/>
                        <w:sz w:val="20"/>
                        <w:szCs w:val="20"/>
                      </w:rPr>
                      <m:t>ing</m:t>
                    </m:r>
                  </m:sub>
                </m:sSub>
              </m:oMath>
            </m:oMathPara>
          </w:p>
        </w:tc>
        <w:tc>
          <w:tcPr>
            <w:tcW w:w="1170" w:type="dxa"/>
            <w:tcBorders>
              <w:top w:val="single" w:sz="12" w:space="0" w:color="auto"/>
              <w:left w:val="single" w:sz="12" w:space="0" w:color="auto"/>
              <w:bottom w:val="single" w:sz="12" w:space="0" w:color="auto"/>
            </w:tcBorders>
            <w:shd w:val="clear" w:color="auto" w:fill="C00000"/>
          </w:tcPr>
          <w:p w:rsidR="00E044FA" w:rsidRPr="00A36ED2" w:rsidRDefault="00CC313B" w:rsidP="00E044FA">
            <w:pPr>
              <w:jc w:val="center"/>
              <w:rPr>
                <w:rFonts w:asciiTheme="majorBidi" w:hAnsiTheme="majorBidi" w:cstheme="majorBidi"/>
                <w:i/>
                <w:sz w:val="20"/>
                <w:szCs w:val="20"/>
              </w:rPr>
            </w:pPr>
            <m:oMathPara>
              <m:oMath>
                <m:sSub>
                  <m:sSubPr>
                    <m:ctrlPr>
                      <w:rPr>
                        <w:rFonts w:ascii="Cambria Math" w:hAnsi="Cambria Math" w:cstheme="majorBidi"/>
                        <w:i/>
                        <w:sz w:val="20"/>
                        <w:szCs w:val="20"/>
                      </w:rPr>
                    </m:ctrlPr>
                  </m:sSubPr>
                  <m:e>
                    <m:r>
                      <w:rPr>
                        <w:rFonts w:ascii="Cambria Math" w:hAnsi="Cambria Math" w:cstheme="majorBidi"/>
                        <w:sz w:val="20"/>
                        <w:szCs w:val="20"/>
                      </w:rPr>
                      <m:t>CSF</m:t>
                    </m:r>
                  </m:e>
                  <m:sub>
                    <m:r>
                      <w:rPr>
                        <w:rFonts w:ascii="Cambria Math" w:hAnsi="Cambria Math" w:cstheme="majorBidi"/>
                        <w:sz w:val="20"/>
                        <w:szCs w:val="20"/>
                      </w:rPr>
                      <m:t>dermal</m:t>
                    </m:r>
                  </m:sub>
                </m:sSub>
              </m:oMath>
            </m:oMathPara>
          </w:p>
        </w:tc>
        <w:tc>
          <w:tcPr>
            <w:tcW w:w="900" w:type="dxa"/>
            <w:tcBorders>
              <w:top w:val="single" w:sz="12" w:space="0" w:color="auto"/>
              <w:left w:val="single" w:sz="12" w:space="0" w:color="auto"/>
              <w:bottom w:val="single" w:sz="12" w:space="0" w:color="auto"/>
            </w:tcBorders>
            <w:shd w:val="clear" w:color="auto" w:fill="C00000"/>
          </w:tcPr>
          <w:p w:rsidR="00E044FA" w:rsidRPr="00A36ED2" w:rsidRDefault="00E044FA" w:rsidP="00E044FA">
            <w:pPr>
              <w:jc w:val="center"/>
              <w:rPr>
                <w:rFonts w:asciiTheme="majorBidi" w:hAnsiTheme="majorBidi" w:cstheme="majorBidi"/>
                <w:i/>
                <w:sz w:val="20"/>
                <w:szCs w:val="20"/>
              </w:rPr>
            </w:pPr>
            <m:oMathPara>
              <m:oMath>
                <m:r>
                  <w:rPr>
                    <w:rFonts w:ascii="Cambria Math" w:hAnsi="Cambria Math" w:cstheme="majorBidi"/>
                    <w:sz w:val="20"/>
                    <w:szCs w:val="20"/>
                  </w:rPr>
                  <m:t>IUR</m:t>
                </m:r>
              </m:oMath>
            </m:oMathPara>
          </w:p>
        </w:tc>
        <w:tc>
          <w:tcPr>
            <w:tcW w:w="730" w:type="dxa"/>
            <w:tcBorders>
              <w:top w:val="single" w:sz="12" w:space="0" w:color="auto"/>
              <w:left w:val="single" w:sz="12" w:space="0" w:color="auto"/>
              <w:bottom w:val="single" w:sz="12" w:space="0" w:color="auto"/>
            </w:tcBorders>
            <w:shd w:val="clear" w:color="auto" w:fill="C00000"/>
          </w:tcPr>
          <w:p w:rsidR="00E044FA" w:rsidRPr="00A36ED2" w:rsidRDefault="00CC313B" w:rsidP="00E044FA">
            <w:pPr>
              <w:jc w:val="center"/>
              <w:rPr>
                <w:rFonts w:asciiTheme="majorBidi" w:hAnsiTheme="majorBidi" w:cstheme="majorBidi"/>
                <w:sz w:val="20"/>
                <w:szCs w:val="20"/>
              </w:rPr>
            </w:pPr>
            <m:oMathPara>
              <m:oMath>
                <m:sSub>
                  <m:sSubPr>
                    <m:ctrlPr>
                      <w:rPr>
                        <w:rFonts w:ascii="Cambria Math" w:hAnsi="Cambria Math" w:cstheme="majorBidi"/>
                        <w:i/>
                        <w:sz w:val="20"/>
                        <w:szCs w:val="20"/>
                      </w:rPr>
                    </m:ctrlPr>
                  </m:sSubPr>
                  <m:e>
                    <m:r>
                      <w:rPr>
                        <w:rFonts w:ascii="Cambria Math" w:hAnsi="Cambria Math" w:cstheme="majorBidi"/>
                        <w:sz w:val="20"/>
                        <w:szCs w:val="20"/>
                      </w:rPr>
                      <m:t>ABS</m:t>
                    </m:r>
                  </m:e>
                  <m:sub>
                    <m:r>
                      <w:rPr>
                        <w:rFonts w:ascii="Cambria Math" w:hAnsi="Cambria Math" w:cstheme="majorBidi"/>
                        <w:sz w:val="20"/>
                        <w:szCs w:val="20"/>
                      </w:rPr>
                      <m:t>GI</m:t>
                    </m:r>
                  </m:sub>
                </m:sSub>
              </m:oMath>
            </m:oMathPara>
          </w:p>
        </w:tc>
      </w:tr>
      <w:tr w:rsidR="00E044FA" w:rsidRPr="00B70D41" w:rsidTr="00E044FA">
        <w:trPr>
          <w:trHeight w:val="144"/>
          <w:jc w:val="center"/>
        </w:trPr>
        <w:tc>
          <w:tcPr>
            <w:tcW w:w="730"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As</w:t>
            </w:r>
          </w:p>
        </w:tc>
        <w:tc>
          <w:tcPr>
            <w:tcW w:w="875"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-4</w:t>
            </w:r>
          </w:p>
        </w:tc>
        <w:tc>
          <w:tcPr>
            <w:tcW w:w="1101"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-4</w:t>
            </w:r>
          </w:p>
        </w:tc>
        <w:tc>
          <w:tcPr>
            <w:tcW w:w="879"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1.5*10</w:t>
            </w:r>
            <w:r w:rsidRPr="00A36ED2">
              <w:rPr>
                <w:rFonts w:asciiTheme="majorBidi" w:hAnsiTheme="majorBidi" w:cstheme="majorBidi"/>
                <w:sz w:val="20"/>
                <w:szCs w:val="20"/>
                <w:vertAlign w:val="superscript"/>
              </w:rPr>
              <w:t>-5</w:t>
            </w:r>
          </w:p>
        </w:tc>
        <w:tc>
          <w:tcPr>
            <w:tcW w:w="900"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1.5</w:t>
            </w:r>
          </w:p>
        </w:tc>
        <w:tc>
          <w:tcPr>
            <w:tcW w:w="1170"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1.5</w:t>
            </w:r>
          </w:p>
        </w:tc>
        <w:tc>
          <w:tcPr>
            <w:tcW w:w="900"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4.3*10</w:t>
            </w:r>
            <w:r w:rsidRPr="00A36ED2">
              <w:rPr>
                <w:rFonts w:asciiTheme="majorBidi" w:hAnsiTheme="majorBidi" w:cstheme="majorBidi"/>
                <w:sz w:val="20"/>
                <w:szCs w:val="20"/>
                <w:vertAlign w:val="superscript"/>
              </w:rPr>
              <w:t>-3</w:t>
            </w:r>
          </w:p>
        </w:tc>
        <w:tc>
          <w:tcPr>
            <w:tcW w:w="730" w:type="dxa"/>
            <w:tcBorders>
              <w:top w:val="single" w:sz="12" w:space="0" w:color="auto"/>
            </w:tcBorders>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Pb</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3.5*10</w:t>
            </w:r>
            <w:r w:rsidRPr="00A36ED2">
              <w:rPr>
                <w:rFonts w:asciiTheme="majorBidi" w:hAnsiTheme="majorBidi" w:cstheme="majorBidi"/>
                <w:sz w:val="20"/>
                <w:szCs w:val="20"/>
                <w:vertAlign w:val="superscript"/>
              </w:rPr>
              <w:t>-3</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3.5*10</w:t>
            </w:r>
            <w:r w:rsidRPr="00A36ED2">
              <w:rPr>
                <w:rFonts w:asciiTheme="majorBidi" w:hAnsiTheme="majorBidi" w:cstheme="majorBidi"/>
                <w:sz w:val="20"/>
                <w:szCs w:val="20"/>
                <w:vertAlign w:val="superscript"/>
              </w:rPr>
              <w:t>-3</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8.5*10</w:t>
            </w:r>
            <w:r w:rsidRPr="00A36ED2">
              <w:rPr>
                <w:rFonts w:asciiTheme="majorBidi" w:hAnsiTheme="majorBidi" w:cstheme="majorBidi"/>
                <w:sz w:val="20"/>
                <w:szCs w:val="20"/>
                <w:vertAlign w:val="superscript"/>
              </w:rPr>
              <w:t>-3</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8.5*10</w:t>
            </w:r>
            <w:r w:rsidRPr="00A36ED2">
              <w:rPr>
                <w:rFonts w:asciiTheme="majorBidi" w:hAnsiTheme="majorBidi" w:cstheme="majorBidi"/>
                <w:sz w:val="20"/>
                <w:szCs w:val="20"/>
                <w:vertAlign w:val="superscript"/>
              </w:rPr>
              <w:t>-3</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1.2*10</w:t>
            </w:r>
            <w:r w:rsidRPr="00A36ED2">
              <w:rPr>
                <w:rFonts w:asciiTheme="majorBidi" w:hAnsiTheme="majorBidi" w:cstheme="majorBidi"/>
                <w:sz w:val="20"/>
                <w:szCs w:val="20"/>
                <w:vertAlign w:val="superscript"/>
              </w:rPr>
              <w:t>-5</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Cd</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5*10</w:t>
            </w:r>
            <w:r w:rsidRPr="00A36ED2">
              <w:rPr>
                <w:rFonts w:asciiTheme="majorBidi" w:hAnsiTheme="majorBidi" w:cstheme="majorBidi"/>
                <w:sz w:val="20"/>
                <w:szCs w:val="20"/>
                <w:vertAlign w:val="superscript"/>
              </w:rPr>
              <w:t>-4</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2.5*10</w:t>
            </w:r>
            <w:r w:rsidRPr="00A36ED2">
              <w:rPr>
                <w:rFonts w:asciiTheme="majorBidi" w:hAnsiTheme="majorBidi" w:cstheme="majorBidi"/>
                <w:sz w:val="20"/>
                <w:szCs w:val="20"/>
                <w:vertAlign w:val="superscript"/>
              </w:rPr>
              <w:t>-5</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1*10</w:t>
            </w:r>
            <w:r w:rsidRPr="00A36ED2">
              <w:rPr>
                <w:rFonts w:asciiTheme="majorBidi" w:hAnsiTheme="majorBidi" w:cstheme="majorBidi"/>
                <w:sz w:val="20"/>
                <w:szCs w:val="20"/>
                <w:vertAlign w:val="superscript"/>
              </w:rPr>
              <w:t>-5</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vertAlign w:val="superscript"/>
              </w:rPr>
            </w:pPr>
            <w:r w:rsidRPr="00A36ED2">
              <w:rPr>
                <w:rFonts w:asciiTheme="majorBidi" w:hAnsiTheme="majorBidi" w:cstheme="majorBidi"/>
                <w:sz w:val="20"/>
                <w:szCs w:val="20"/>
              </w:rPr>
              <w:t>1.8*10</w:t>
            </w:r>
            <w:r w:rsidRPr="00A36ED2">
              <w:rPr>
                <w:rFonts w:asciiTheme="majorBidi" w:hAnsiTheme="majorBidi" w:cstheme="majorBidi"/>
                <w:sz w:val="20"/>
                <w:szCs w:val="20"/>
                <w:vertAlign w:val="superscript"/>
              </w:rPr>
              <w:t>-3</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0.05</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Cr</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-3</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7.5*10</w:t>
            </w:r>
            <w:r w:rsidRPr="00A36ED2">
              <w:rPr>
                <w:rFonts w:asciiTheme="majorBidi" w:hAnsiTheme="majorBidi" w:cstheme="majorBidi"/>
                <w:sz w:val="20"/>
                <w:szCs w:val="20"/>
                <w:vertAlign w:val="superscript"/>
              </w:rPr>
              <w:t>-5</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1*10</w:t>
            </w:r>
            <w:r w:rsidRPr="00A36ED2">
              <w:rPr>
                <w:rFonts w:asciiTheme="majorBidi" w:hAnsiTheme="majorBidi" w:cstheme="majorBidi"/>
                <w:sz w:val="20"/>
                <w:szCs w:val="20"/>
                <w:vertAlign w:val="superscript"/>
              </w:rPr>
              <w:t>-4</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5*10</w:t>
            </w:r>
            <w:r w:rsidRPr="00A36ED2">
              <w:rPr>
                <w:rFonts w:asciiTheme="majorBidi" w:hAnsiTheme="majorBidi" w:cstheme="majorBidi"/>
                <w:sz w:val="20"/>
                <w:szCs w:val="20"/>
                <w:vertAlign w:val="superscript"/>
              </w:rPr>
              <w:t>-1</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20</w:t>
            </w:r>
          </w:p>
        </w:tc>
        <w:tc>
          <w:tcPr>
            <w:tcW w:w="900" w:type="dxa"/>
          </w:tcPr>
          <w:p w:rsidR="00E044FA" w:rsidRPr="00A36ED2" w:rsidRDefault="00E044FA" w:rsidP="00E044FA">
            <w:pPr>
              <w:jc w:val="center"/>
              <w:rPr>
                <w:rFonts w:asciiTheme="majorBidi" w:hAnsiTheme="majorBidi" w:cstheme="majorBidi"/>
                <w:sz w:val="20"/>
                <w:szCs w:val="20"/>
                <w:vertAlign w:val="superscript"/>
              </w:rPr>
            </w:pPr>
            <w:r w:rsidRPr="00A36ED2">
              <w:rPr>
                <w:rFonts w:asciiTheme="majorBidi" w:hAnsiTheme="majorBidi" w:cstheme="majorBidi"/>
                <w:sz w:val="20"/>
                <w:szCs w:val="20"/>
              </w:rPr>
              <w:t>8.4*10</w:t>
            </w:r>
            <w:r w:rsidRPr="00A36ED2">
              <w:rPr>
                <w:rFonts w:asciiTheme="majorBidi" w:hAnsiTheme="majorBidi" w:cstheme="majorBidi"/>
                <w:sz w:val="20"/>
                <w:szCs w:val="20"/>
                <w:vertAlign w:val="superscript"/>
              </w:rPr>
              <w:t>-2</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0.025</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Co</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-4</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-4</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6*10</w:t>
            </w:r>
            <w:r w:rsidRPr="00A36ED2">
              <w:rPr>
                <w:rFonts w:asciiTheme="majorBidi" w:hAnsiTheme="majorBidi" w:cstheme="majorBidi"/>
                <w:sz w:val="20"/>
                <w:szCs w:val="20"/>
                <w:vertAlign w:val="superscript"/>
              </w:rPr>
              <w:t>-6</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vertAlign w:val="superscript"/>
              </w:rPr>
            </w:pPr>
            <w:r w:rsidRPr="00A36ED2">
              <w:rPr>
                <w:rFonts w:asciiTheme="majorBidi" w:hAnsiTheme="majorBidi" w:cstheme="majorBidi"/>
                <w:sz w:val="20"/>
                <w:szCs w:val="20"/>
              </w:rPr>
              <w:t>9*10</w:t>
            </w:r>
            <w:r w:rsidRPr="00A36ED2">
              <w:rPr>
                <w:rFonts w:asciiTheme="majorBidi" w:hAnsiTheme="majorBidi" w:cstheme="majorBidi"/>
                <w:sz w:val="20"/>
                <w:szCs w:val="20"/>
                <w:vertAlign w:val="superscript"/>
              </w:rPr>
              <w:t>-3</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Cu</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4*10</w:t>
            </w:r>
            <w:r w:rsidRPr="00A36ED2">
              <w:rPr>
                <w:rFonts w:asciiTheme="majorBidi" w:hAnsiTheme="majorBidi" w:cstheme="majorBidi"/>
                <w:sz w:val="20"/>
                <w:szCs w:val="20"/>
                <w:vertAlign w:val="superscript"/>
              </w:rPr>
              <w:t>-2</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4*10</w:t>
            </w:r>
            <w:r w:rsidRPr="00A36ED2">
              <w:rPr>
                <w:rFonts w:asciiTheme="majorBidi" w:hAnsiTheme="majorBidi" w:cstheme="majorBidi"/>
                <w:sz w:val="20"/>
                <w:szCs w:val="20"/>
                <w:vertAlign w:val="superscript"/>
              </w:rPr>
              <w:t>-2</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Ni</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2*10</w:t>
            </w:r>
            <w:r w:rsidRPr="00A36ED2">
              <w:rPr>
                <w:rFonts w:asciiTheme="majorBidi" w:hAnsiTheme="majorBidi" w:cstheme="majorBidi"/>
                <w:sz w:val="20"/>
                <w:szCs w:val="20"/>
                <w:vertAlign w:val="superscript"/>
              </w:rPr>
              <w:t>-2</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8*10</w:t>
            </w:r>
            <w:r w:rsidRPr="00A36ED2">
              <w:rPr>
                <w:rFonts w:asciiTheme="majorBidi" w:hAnsiTheme="majorBidi" w:cstheme="majorBidi"/>
                <w:sz w:val="20"/>
                <w:szCs w:val="20"/>
                <w:vertAlign w:val="superscript"/>
              </w:rPr>
              <w:t>-4</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9*10</w:t>
            </w:r>
            <w:r w:rsidRPr="00A36ED2">
              <w:rPr>
                <w:rFonts w:asciiTheme="majorBidi" w:hAnsiTheme="majorBidi" w:cstheme="majorBidi"/>
                <w:sz w:val="20"/>
                <w:szCs w:val="20"/>
                <w:vertAlign w:val="superscript"/>
              </w:rPr>
              <w:t>-5</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vertAlign w:val="superscript"/>
              </w:rPr>
            </w:pPr>
            <w:r w:rsidRPr="00A36ED2">
              <w:rPr>
                <w:rFonts w:asciiTheme="majorBidi" w:hAnsiTheme="majorBidi" w:cstheme="majorBidi"/>
                <w:sz w:val="20"/>
                <w:szCs w:val="20"/>
              </w:rPr>
              <w:t>2.6*10</w:t>
            </w:r>
            <w:r w:rsidRPr="00A36ED2">
              <w:rPr>
                <w:rFonts w:asciiTheme="majorBidi" w:hAnsiTheme="majorBidi" w:cstheme="majorBidi"/>
                <w:sz w:val="20"/>
                <w:szCs w:val="20"/>
                <w:vertAlign w:val="superscript"/>
              </w:rPr>
              <w:t>-4</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0.04</w:t>
            </w:r>
          </w:p>
        </w:tc>
      </w:tr>
      <w:tr w:rsidR="00E044FA" w:rsidRPr="00B70D41" w:rsidTr="00E044FA">
        <w:trPr>
          <w:trHeight w:val="144"/>
          <w:jc w:val="center"/>
        </w:trPr>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Zn</w:t>
            </w:r>
          </w:p>
        </w:tc>
        <w:tc>
          <w:tcPr>
            <w:tcW w:w="875"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-1</w:t>
            </w:r>
          </w:p>
        </w:tc>
        <w:tc>
          <w:tcPr>
            <w:tcW w:w="1101"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3*10</w:t>
            </w:r>
            <w:r w:rsidRPr="00A36ED2">
              <w:rPr>
                <w:rFonts w:asciiTheme="majorBidi" w:hAnsiTheme="majorBidi" w:cstheme="majorBidi"/>
                <w:sz w:val="20"/>
                <w:szCs w:val="20"/>
                <w:vertAlign w:val="superscript"/>
              </w:rPr>
              <w:t>-1</w:t>
            </w:r>
          </w:p>
        </w:tc>
        <w:tc>
          <w:tcPr>
            <w:tcW w:w="879"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117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90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w:t>
            </w:r>
          </w:p>
        </w:tc>
        <w:tc>
          <w:tcPr>
            <w:tcW w:w="730" w:type="dxa"/>
          </w:tcPr>
          <w:p w:rsidR="00E044FA" w:rsidRPr="00A36ED2" w:rsidRDefault="00E044FA" w:rsidP="00E044FA">
            <w:pPr>
              <w:jc w:val="center"/>
              <w:rPr>
                <w:rFonts w:asciiTheme="majorBidi" w:hAnsiTheme="majorBidi" w:cstheme="majorBidi"/>
                <w:sz w:val="20"/>
                <w:szCs w:val="20"/>
              </w:rPr>
            </w:pPr>
            <w:r w:rsidRPr="00A36ED2">
              <w:rPr>
                <w:rFonts w:asciiTheme="majorBidi" w:hAnsiTheme="majorBidi" w:cstheme="majorBidi"/>
                <w:sz w:val="20"/>
                <w:szCs w:val="20"/>
              </w:rPr>
              <w:t>1</w:t>
            </w:r>
          </w:p>
        </w:tc>
      </w:tr>
      <w:bookmarkEnd w:id="12"/>
    </w:tbl>
    <w:p w:rsidR="006570EE" w:rsidRDefault="006570EE" w:rsidP="00A36ED2">
      <w:pPr>
        <w:spacing w:line="240" w:lineRule="auto"/>
        <w:jc w:val="center"/>
        <w:rPr>
          <w:rFonts w:asciiTheme="majorBidi" w:hAnsiTheme="majorBidi" w:cstheme="majorBidi"/>
          <w:sz w:val="24"/>
          <w:szCs w:val="24"/>
        </w:rPr>
      </w:pPr>
    </w:p>
    <w:p w:rsidR="00012029" w:rsidRPr="00C329A3" w:rsidRDefault="00012029" w:rsidP="00A36ED2">
      <w:pPr>
        <w:spacing w:line="240" w:lineRule="auto"/>
        <w:jc w:val="center"/>
        <w:rPr>
          <w:rFonts w:asciiTheme="majorBidi" w:hAnsiTheme="majorBidi" w:cstheme="majorBidi"/>
          <w:sz w:val="24"/>
          <w:szCs w:val="24"/>
        </w:rPr>
      </w:pPr>
    </w:p>
    <w:p w:rsidR="00ED276F" w:rsidRPr="00C329A3" w:rsidRDefault="00936583" w:rsidP="00C329A3">
      <w:pPr>
        <w:spacing w:line="240" w:lineRule="auto"/>
        <w:rPr>
          <w:rFonts w:asciiTheme="majorBidi" w:hAnsiTheme="majorBidi" w:cstheme="majorBidi"/>
          <w:b/>
          <w:bCs/>
          <w:sz w:val="24"/>
          <w:szCs w:val="24"/>
        </w:rPr>
      </w:pPr>
      <w:r w:rsidRPr="00C329A3">
        <w:rPr>
          <w:rFonts w:asciiTheme="majorBidi" w:hAnsiTheme="majorBidi" w:cstheme="majorBidi"/>
          <w:b/>
          <w:bCs/>
          <w:sz w:val="24"/>
          <w:szCs w:val="24"/>
        </w:rPr>
        <w:t>4. Results and Discussion:</w:t>
      </w:r>
    </w:p>
    <w:p w:rsidR="00936583" w:rsidRPr="00C329A3" w:rsidRDefault="00936583" w:rsidP="00C329A3">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4.1 Concentrations of Heavy Metals in Soil Samples:</w:t>
      </w:r>
    </w:p>
    <w:p w:rsidR="00A74708" w:rsidRPr="00A74708" w:rsidRDefault="00A74708" w:rsidP="00A74708">
      <w:pPr>
        <w:spacing w:line="240" w:lineRule="auto"/>
        <w:jc w:val="both"/>
        <w:rPr>
          <w:rFonts w:asciiTheme="majorBidi" w:hAnsiTheme="majorBidi" w:cstheme="majorBidi"/>
          <w:sz w:val="24"/>
          <w:szCs w:val="24"/>
        </w:rPr>
      </w:pPr>
      <w:r w:rsidRPr="00A74708">
        <w:rPr>
          <w:rFonts w:asciiTheme="majorBidi" w:hAnsiTheme="majorBidi" w:cstheme="majorBidi"/>
          <w:sz w:val="24"/>
          <w:szCs w:val="24"/>
        </w:rPr>
        <w:t xml:space="preserve">     </w:t>
      </w:r>
      <w:r w:rsidR="00DD0E59" w:rsidRPr="00A74708">
        <w:rPr>
          <w:rFonts w:asciiTheme="majorBidi" w:hAnsiTheme="majorBidi" w:cstheme="majorBidi"/>
          <w:sz w:val="24"/>
          <w:szCs w:val="24"/>
        </w:rPr>
        <w:t xml:space="preserve">(Table </w:t>
      </w:r>
      <w:r w:rsidR="004D5AAF">
        <w:rPr>
          <w:rFonts w:asciiTheme="majorBidi" w:hAnsiTheme="majorBidi" w:cstheme="majorBidi"/>
          <w:sz w:val="24"/>
          <w:szCs w:val="24"/>
        </w:rPr>
        <w:t>5</w:t>
      </w:r>
      <w:r w:rsidR="00DD0E59" w:rsidRPr="00A74708">
        <w:rPr>
          <w:rFonts w:asciiTheme="majorBidi" w:hAnsiTheme="majorBidi" w:cstheme="majorBidi"/>
          <w:sz w:val="24"/>
          <w:szCs w:val="24"/>
        </w:rPr>
        <w:t>)</w:t>
      </w:r>
      <w:r w:rsidR="00DD0E59">
        <w:rPr>
          <w:rFonts w:asciiTheme="majorBidi" w:hAnsiTheme="majorBidi" w:cstheme="majorBidi"/>
          <w:sz w:val="24"/>
          <w:szCs w:val="24"/>
        </w:rPr>
        <w:t xml:space="preserve"> show</w:t>
      </w:r>
      <w:r w:rsidR="00BB735B">
        <w:rPr>
          <w:rFonts w:asciiTheme="majorBidi" w:hAnsiTheme="majorBidi" w:cstheme="majorBidi"/>
          <w:sz w:val="24"/>
          <w:szCs w:val="24"/>
        </w:rPr>
        <w:t>s the</w:t>
      </w:r>
      <w:r w:rsidR="00DD0E59">
        <w:rPr>
          <w:rFonts w:asciiTheme="majorBidi" w:hAnsiTheme="majorBidi" w:cstheme="majorBidi"/>
          <w:sz w:val="24"/>
          <w:szCs w:val="24"/>
        </w:rPr>
        <w:t xml:space="preserve"> </w:t>
      </w:r>
      <w:r w:rsidRPr="00BB735B">
        <w:rPr>
          <w:rFonts w:asciiTheme="majorBidi" w:hAnsiTheme="majorBidi" w:cstheme="majorBidi"/>
          <w:noProof/>
          <w:sz w:val="24"/>
          <w:szCs w:val="24"/>
        </w:rPr>
        <w:t>concentration</w:t>
      </w:r>
      <w:r w:rsidRPr="00A74708">
        <w:rPr>
          <w:rFonts w:asciiTheme="majorBidi" w:hAnsiTheme="majorBidi" w:cstheme="majorBidi"/>
          <w:sz w:val="24"/>
          <w:szCs w:val="24"/>
        </w:rPr>
        <w:t xml:space="preserve"> of heavy metals in the </w:t>
      </w:r>
      <w:r w:rsidR="00DD0E59">
        <w:rPr>
          <w:rFonts w:asciiTheme="majorBidi" w:hAnsiTheme="majorBidi" w:cstheme="majorBidi"/>
          <w:sz w:val="24"/>
          <w:szCs w:val="24"/>
        </w:rPr>
        <w:t xml:space="preserve">Shewasoor’s sub-basin </w:t>
      </w:r>
      <w:r w:rsidRPr="00A74708">
        <w:rPr>
          <w:rFonts w:asciiTheme="majorBidi" w:hAnsiTheme="majorBidi" w:cstheme="majorBidi"/>
          <w:sz w:val="24"/>
          <w:szCs w:val="24"/>
        </w:rPr>
        <w:t xml:space="preserve">soil. The abundance trend of </w:t>
      </w:r>
      <w:r w:rsidR="00DD0E59">
        <w:rPr>
          <w:rFonts w:asciiTheme="majorBidi" w:hAnsiTheme="majorBidi" w:cstheme="majorBidi"/>
          <w:sz w:val="24"/>
          <w:szCs w:val="24"/>
        </w:rPr>
        <w:t>median</w:t>
      </w:r>
      <w:r w:rsidRPr="00A74708">
        <w:rPr>
          <w:rFonts w:asciiTheme="majorBidi" w:hAnsiTheme="majorBidi" w:cstheme="majorBidi"/>
          <w:sz w:val="24"/>
          <w:szCs w:val="24"/>
        </w:rPr>
        <w:t xml:space="preserve"> concentrations of heavy metals in the soil samples in order of Ni&gt; Cr&gt; Zn&gt; Cu&gt; Co&gt; Pb&gt; As&gt; Cd</w:t>
      </w:r>
      <w:r w:rsidR="002C2F56">
        <w:rPr>
          <w:rFonts w:asciiTheme="majorBidi" w:hAnsiTheme="majorBidi" w:cstheme="majorBidi"/>
          <w:sz w:val="24"/>
          <w:szCs w:val="24"/>
        </w:rPr>
        <w:t>,</w:t>
      </w:r>
      <w:r w:rsidRPr="00A74708">
        <w:rPr>
          <w:rFonts w:asciiTheme="majorBidi" w:hAnsiTheme="majorBidi" w:cstheme="majorBidi"/>
          <w:sz w:val="24"/>
          <w:szCs w:val="24"/>
        </w:rPr>
        <w:t xml:space="preserve"> </w:t>
      </w:r>
      <w:r w:rsidR="002C2F56">
        <w:rPr>
          <w:rFonts w:asciiTheme="majorBidi" w:hAnsiTheme="majorBidi" w:cstheme="majorBidi"/>
          <w:sz w:val="24"/>
          <w:szCs w:val="24"/>
        </w:rPr>
        <w:t>t</w:t>
      </w:r>
      <w:r w:rsidRPr="00A74708">
        <w:rPr>
          <w:rFonts w:asciiTheme="majorBidi" w:hAnsiTheme="majorBidi" w:cstheme="majorBidi"/>
          <w:sz w:val="24"/>
          <w:szCs w:val="24"/>
        </w:rPr>
        <w:t xml:space="preserve">he concentrations of As, Cd, and Ni in </w:t>
      </w:r>
      <w:r w:rsidR="002C2F56">
        <w:rPr>
          <w:rFonts w:asciiTheme="majorBidi" w:hAnsiTheme="majorBidi" w:cstheme="majorBidi"/>
          <w:sz w:val="24"/>
          <w:szCs w:val="24"/>
        </w:rPr>
        <w:t xml:space="preserve">the </w:t>
      </w:r>
      <w:r w:rsidRPr="00A74708">
        <w:rPr>
          <w:rFonts w:asciiTheme="majorBidi" w:hAnsiTheme="majorBidi" w:cstheme="majorBidi"/>
          <w:sz w:val="24"/>
          <w:szCs w:val="24"/>
        </w:rPr>
        <w:t xml:space="preserve">all samples </w:t>
      </w:r>
      <w:r w:rsidR="002C2F56">
        <w:rPr>
          <w:rFonts w:asciiTheme="majorBidi" w:hAnsiTheme="majorBidi" w:cstheme="majorBidi"/>
          <w:sz w:val="24"/>
          <w:szCs w:val="24"/>
        </w:rPr>
        <w:t>highest</w:t>
      </w:r>
      <w:r w:rsidRPr="00A74708">
        <w:rPr>
          <w:rFonts w:asciiTheme="majorBidi" w:hAnsiTheme="majorBidi" w:cstheme="majorBidi"/>
          <w:sz w:val="24"/>
          <w:szCs w:val="24"/>
        </w:rPr>
        <w:t xml:space="preserve"> th</w:t>
      </w:r>
      <w:r w:rsidR="002C2F56">
        <w:rPr>
          <w:rFonts w:asciiTheme="majorBidi" w:hAnsiTheme="majorBidi" w:cstheme="majorBidi"/>
          <w:sz w:val="24"/>
          <w:szCs w:val="24"/>
        </w:rPr>
        <w:t>an</w:t>
      </w:r>
      <w:r w:rsidRPr="00A74708">
        <w:rPr>
          <w:rFonts w:asciiTheme="majorBidi" w:hAnsiTheme="majorBidi" w:cstheme="majorBidi"/>
          <w:sz w:val="24"/>
          <w:szCs w:val="24"/>
        </w:rPr>
        <w:t xml:space="preserve"> geochemical background values, wh</w:t>
      </w:r>
      <w:r w:rsidR="002C2F56">
        <w:rPr>
          <w:rFonts w:asciiTheme="majorBidi" w:hAnsiTheme="majorBidi" w:cstheme="majorBidi"/>
          <w:sz w:val="24"/>
          <w:szCs w:val="24"/>
        </w:rPr>
        <w:t>ile</w:t>
      </w:r>
      <w:r w:rsidRPr="00A74708">
        <w:rPr>
          <w:rFonts w:asciiTheme="majorBidi" w:hAnsiTheme="majorBidi" w:cstheme="majorBidi"/>
          <w:sz w:val="24"/>
          <w:szCs w:val="24"/>
        </w:rPr>
        <w:t xml:space="preserve"> the concentrations of Pb, Cr, Co, and Zn in all samples lower than geochemical background values, except Zn at site (S7), </w:t>
      </w:r>
      <w:r w:rsidR="002C2F56">
        <w:rPr>
          <w:rFonts w:asciiTheme="majorBidi" w:hAnsiTheme="majorBidi" w:cstheme="majorBidi"/>
          <w:sz w:val="24"/>
          <w:szCs w:val="24"/>
        </w:rPr>
        <w:t>higher</w:t>
      </w:r>
      <w:r w:rsidRPr="00A74708">
        <w:rPr>
          <w:rFonts w:asciiTheme="majorBidi" w:hAnsiTheme="majorBidi" w:cstheme="majorBidi"/>
          <w:sz w:val="24"/>
          <w:szCs w:val="24"/>
        </w:rPr>
        <w:t xml:space="preserve"> th</w:t>
      </w:r>
      <w:r w:rsidR="002C2F56">
        <w:rPr>
          <w:rFonts w:asciiTheme="majorBidi" w:hAnsiTheme="majorBidi" w:cstheme="majorBidi"/>
          <w:sz w:val="24"/>
          <w:szCs w:val="24"/>
        </w:rPr>
        <w:t>an</w:t>
      </w:r>
      <w:r w:rsidRPr="00A74708">
        <w:rPr>
          <w:rFonts w:asciiTheme="majorBidi" w:hAnsiTheme="majorBidi" w:cstheme="majorBidi"/>
          <w:sz w:val="24"/>
          <w:szCs w:val="24"/>
        </w:rPr>
        <w:t xml:space="preserve"> same value. The concentration of Cu at (S1, S2, and S4) </w:t>
      </w:r>
      <w:r w:rsidR="00725437">
        <w:rPr>
          <w:rFonts w:asciiTheme="majorBidi" w:hAnsiTheme="majorBidi" w:cstheme="majorBidi"/>
          <w:sz w:val="24"/>
          <w:szCs w:val="24"/>
        </w:rPr>
        <w:t>lower than</w:t>
      </w:r>
      <w:r w:rsidRPr="00A74708">
        <w:rPr>
          <w:rFonts w:asciiTheme="majorBidi" w:hAnsiTheme="majorBidi" w:cstheme="majorBidi"/>
          <w:sz w:val="24"/>
          <w:szCs w:val="24"/>
        </w:rPr>
        <w:t xml:space="preserve"> geochemical background value, but its concentration </w:t>
      </w:r>
      <w:r w:rsidR="00725437">
        <w:rPr>
          <w:rFonts w:asciiTheme="majorBidi" w:hAnsiTheme="majorBidi" w:cstheme="majorBidi"/>
          <w:sz w:val="24"/>
          <w:szCs w:val="24"/>
        </w:rPr>
        <w:t>higher</w:t>
      </w:r>
      <w:r w:rsidRPr="00A74708">
        <w:rPr>
          <w:rFonts w:asciiTheme="majorBidi" w:hAnsiTheme="majorBidi" w:cstheme="majorBidi"/>
          <w:sz w:val="24"/>
          <w:szCs w:val="24"/>
        </w:rPr>
        <w:t xml:space="preserve"> th</w:t>
      </w:r>
      <w:r w:rsidR="00725437">
        <w:rPr>
          <w:rFonts w:asciiTheme="majorBidi" w:hAnsiTheme="majorBidi" w:cstheme="majorBidi"/>
          <w:sz w:val="24"/>
          <w:szCs w:val="24"/>
        </w:rPr>
        <w:t>an</w:t>
      </w:r>
      <w:r w:rsidR="00BB735B">
        <w:rPr>
          <w:rFonts w:asciiTheme="majorBidi" w:hAnsiTheme="majorBidi" w:cstheme="majorBidi"/>
          <w:sz w:val="24"/>
          <w:szCs w:val="24"/>
        </w:rPr>
        <w:t xml:space="preserve"> the</w:t>
      </w:r>
      <w:r w:rsidRPr="00A74708">
        <w:rPr>
          <w:rFonts w:asciiTheme="majorBidi" w:hAnsiTheme="majorBidi" w:cstheme="majorBidi"/>
          <w:sz w:val="24"/>
          <w:szCs w:val="24"/>
        </w:rPr>
        <w:t xml:space="preserve"> </w:t>
      </w:r>
      <w:r w:rsidRPr="00BB735B">
        <w:rPr>
          <w:rFonts w:asciiTheme="majorBidi" w:hAnsiTheme="majorBidi" w:cstheme="majorBidi"/>
          <w:noProof/>
          <w:sz w:val="24"/>
          <w:szCs w:val="24"/>
        </w:rPr>
        <w:t>compared value</w:t>
      </w:r>
      <w:r w:rsidRPr="00A74708">
        <w:rPr>
          <w:rFonts w:asciiTheme="majorBidi" w:hAnsiTheme="majorBidi" w:cstheme="majorBidi"/>
          <w:sz w:val="24"/>
          <w:szCs w:val="24"/>
        </w:rPr>
        <w:t xml:space="preserve"> at other sites.</w:t>
      </w:r>
    </w:p>
    <w:p w:rsidR="00A74708" w:rsidRPr="005926E1" w:rsidRDefault="00A74708" w:rsidP="004A3724">
      <w:pPr>
        <w:spacing w:line="240" w:lineRule="auto"/>
        <w:rPr>
          <w:rFonts w:asciiTheme="majorBidi" w:hAnsiTheme="majorBidi" w:cstheme="majorBidi"/>
          <w:sz w:val="22"/>
          <w:szCs w:val="22"/>
        </w:rPr>
      </w:pPr>
      <w:r w:rsidRPr="00A74708">
        <w:rPr>
          <w:rFonts w:asciiTheme="majorBidi" w:hAnsiTheme="majorBidi" w:cstheme="majorBidi"/>
          <w:b/>
          <w:bCs/>
          <w:sz w:val="24"/>
          <w:szCs w:val="24"/>
        </w:rPr>
        <w:t xml:space="preserve">  </w:t>
      </w:r>
      <w:r w:rsidRPr="005926E1">
        <w:rPr>
          <w:rFonts w:asciiTheme="majorBidi" w:hAnsiTheme="majorBidi" w:cstheme="majorBidi"/>
          <w:b/>
          <w:bCs/>
          <w:sz w:val="22"/>
          <w:szCs w:val="22"/>
        </w:rPr>
        <w:t xml:space="preserve">Table </w:t>
      </w:r>
      <w:r w:rsidR="00393805">
        <w:rPr>
          <w:rFonts w:asciiTheme="majorBidi" w:hAnsiTheme="majorBidi" w:cstheme="majorBidi"/>
          <w:b/>
          <w:bCs/>
          <w:sz w:val="22"/>
          <w:szCs w:val="22"/>
        </w:rPr>
        <w:t>5</w:t>
      </w:r>
      <w:r w:rsidRPr="005926E1">
        <w:rPr>
          <w:rFonts w:asciiTheme="majorBidi" w:hAnsiTheme="majorBidi" w:cstheme="majorBidi"/>
          <w:b/>
          <w:bCs/>
          <w:sz w:val="22"/>
          <w:szCs w:val="22"/>
        </w:rPr>
        <w:t xml:space="preserve"> </w:t>
      </w:r>
      <w:r w:rsidRPr="005926E1">
        <w:rPr>
          <w:rFonts w:asciiTheme="majorBidi" w:hAnsiTheme="majorBidi" w:cstheme="majorBidi"/>
          <w:sz w:val="22"/>
          <w:szCs w:val="22"/>
        </w:rPr>
        <w:t>Concentrations of Heavy Metals in Soil Samples of Study Area, Geochemical</w:t>
      </w:r>
      <w:r w:rsidR="004B25FF">
        <w:rPr>
          <w:rFonts w:asciiTheme="majorBidi" w:hAnsiTheme="majorBidi" w:cstheme="majorBidi"/>
          <w:sz w:val="22"/>
          <w:szCs w:val="22"/>
        </w:rPr>
        <w:t xml:space="preserve"> </w:t>
      </w:r>
      <w:r w:rsidRPr="005926E1">
        <w:rPr>
          <w:rFonts w:asciiTheme="majorBidi" w:hAnsiTheme="majorBidi" w:cstheme="majorBidi"/>
          <w:sz w:val="22"/>
          <w:szCs w:val="22"/>
        </w:rPr>
        <w:t>Background values of Heavy Metals, and Maximum Allowable Limit of Concentrations of Heavy Metals in Soil for Several Guidelines. (ppm)</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99"/>
        <w:gridCol w:w="821"/>
        <w:gridCol w:w="921"/>
        <w:gridCol w:w="835"/>
        <w:gridCol w:w="911"/>
        <w:gridCol w:w="941"/>
        <w:gridCol w:w="921"/>
        <w:gridCol w:w="857"/>
        <w:gridCol w:w="918"/>
        <w:gridCol w:w="716"/>
      </w:tblGrid>
      <w:tr w:rsidR="00EE0561" w:rsidRPr="005926E1" w:rsidTr="000E4C9C">
        <w:trPr>
          <w:trHeight w:val="144"/>
          <w:jc w:val="center"/>
        </w:trPr>
        <w:tc>
          <w:tcPr>
            <w:tcW w:w="1399" w:type="dxa"/>
            <w:tcBorders>
              <w:top w:val="single" w:sz="12" w:space="0" w:color="auto"/>
              <w:left w:val="single" w:sz="12" w:space="0" w:color="auto"/>
              <w:bottom w:val="single" w:sz="12" w:space="0" w:color="auto"/>
              <w:right w:val="single" w:sz="12" w:space="0" w:color="auto"/>
            </w:tcBorders>
            <w:shd w:val="clear" w:color="auto" w:fill="C00000"/>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Site Name</w:t>
            </w:r>
          </w:p>
        </w:tc>
        <w:tc>
          <w:tcPr>
            <w:tcW w:w="821"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As</w:t>
            </w:r>
          </w:p>
        </w:tc>
        <w:tc>
          <w:tcPr>
            <w:tcW w:w="921"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Pb</w:t>
            </w:r>
          </w:p>
        </w:tc>
        <w:tc>
          <w:tcPr>
            <w:tcW w:w="835"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Cd</w:t>
            </w:r>
          </w:p>
        </w:tc>
        <w:tc>
          <w:tcPr>
            <w:tcW w:w="911"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Cr</w:t>
            </w:r>
          </w:p>
        </w:tc>
        <w:tc>
          <w:tcPr>
            <w:tcW w:w="941"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Co</w:t>
            </w:r>
          </w:p>
        </w:tc>
        <w:tc>
          <w:tcPr>
            <w:tcW w:w="921"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Cu</w:t>
            </w:r>
          </w:p>
        </w:tc>
        <w:tc>
          <w:tcPr>
            <w:tcW w:w="857"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Ni</w:t>
            </w:r>
          </w:p>
        </w:tc>
        <w:tc>
          <w:tcPr>
            <w:tcW w:w="918"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Zn</w:t>
            </w:r>
          </w:p>
        </w:tc>
        <w:tc>
          <w:tcPr>
            <w:tcW w:w="716" w:type="dxa"/>
            <w:tcBorders>
              <w:top w:val="single" w:sz="12" w:space="0" w:color="auto"/>
              <w:left w:val="single" w:sz="12" w:space="0" w:color="auto"/>
              <w:bottom w:val="single" w:sz="12" w:space="0" w:color="auto"/>
              <w:right w:val="single" w:sz="12" w:space="0" w:color="auto"/>
            </w:tcBorders>
            <w:shd w:val="clear" w:color="auto" w:fill="C00000"/>
          </w:tcPr>
          <w:p w:rsidR="00EE0561" w:rsidRPr="005926E1" w:rsidRDefault="00EE0561"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pH</w:t>
            </w:r>
          </w:p>
        </w:tc>
      </w:tr>
      <w:tr w:rsidR="00EE0561" w:rsidRPr="005926E1" w:rsidTr="00EE0561">
        <w:trPr>
          <w:trHeight w:val="144"/>
          <w:jc w:val="center"/>
        </w:trPr>
        <w:tc>
          <w:tcPr>
            <w:tcW w:w="1399" w:type="dxa"/>
            <w:tcBorders>
              <w:top w:val="single" w:sz="12"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S1</w:t>
            </w:r>
          </w:p>
        </w:tc>
        <w:tc>
          <w:tcPr>
            <w:tcW w:w="821"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6.7</w:t>
            </w:r>
          </w:p>
        </w:tc>
        <w:tc>
          <w:tcPr>
            <w:tcW w:w="921"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10.07</w:t>
            </w:r>
          </w:p>
        </w:tc>
        <w:tc>
          <w:tcPr>
            <w:tcW w:w="835"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0.25</w:t>
            </w:r>
          </w:p>
        </w:tc>
        <w:tc>
          <w:tcPr>
            <w:tcW w:w="911"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79.8</w:t>
            </w:r>
          </w:p>
        </w:tc>
        <w:tc>
          <w:tcPr>
            <w:tcW w:w="941"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17.6</w:t>
            </w:r>
          </w:p>
        </w:tc>
        <w:tc>
          <w:tcPr>
            <w:tcW w:w="921"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23.15</w:t>
            </w:r>
          </w:p>
        </w:tc>
        <w:tc>
          <w:tcPr>
            <w:tcW w:w="857" w:type="dxa"/>
            <w:tcBorders>
              <w:top w:val="single" w:sz="12"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118</w:t>
            </w:r>
          </w:p>
        </w:tc>
        <w:tc>
          <w:tcPr>
            <w:tcW w:w="918" w:type="dxa"/>
            <w:tcBorders>
              <w:top w:val="single" w:sz="12"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49.2</w:t>
            </w:r>
          </w:p>
        </w:tc>
        <w:tc>
          <w:tcPr>
            <w:tcW w:w="716" w:type="dxa"/>
            <w:tcBorders>
              <w:top w:val="single" w:sz="12"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sidRPr="00D92038">
              <w:rPr>
                <w:rFonts w:asciiTheme="majorBidi" w:hAnsiTheme="majorBidi" w:cstheme="majorBidi"/>
                <w:sz w:val="22"/>
                <w:szCs w:val="22"/>
              </w:rPr>
              <w:t>7.5</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S2</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5.3</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8.08</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0.17</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61.6</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20.2</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25.56</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94.5</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36.1</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sidRPr="00D92038">
              <w:rPr>
                <w:rFonts w:asciiTheme="majorBidi" w:hAnsiTheme="majorBidi" w:cstheme="majorBidi"/>
                <w:sz w:val="22"/>
                <w:szCs w:val="22"/>
              </w:rPr>
              <w:t>7.7</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S3</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8.7</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13.56</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0.15</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78.4</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19.1</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29.98</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129.7</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56.7</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sidRPr="00D92038">
              <w:rPr>
                <w:rFonts w:asciiTheme="majorBidi" w:hAnsiTheme="majorBidi" w:cstheme="majorBidi"/>
                <w:sz w:val="22"/>
                <w:szCs w:val="22"/>
              </w:rPr>
              <w:t>8</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S4</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9.7</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10.92</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0.16</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64.6</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14.4</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19.55</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82</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39.4</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8</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S5</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7.3</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11.53</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0.15</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69.5</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16.3</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25.08</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108.9</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52.5</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8.1</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S6</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6.9</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12.59</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0.27</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80.1</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17.1</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27.77</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132</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57</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7.8</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S7</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7.1</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14.66</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0.27</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99.1</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21.8</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33.72</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143.2</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76</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7.9</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S8</w:t>
            </w:r>
          </w:p>
        </w:tc>
        <w:tc>
          <w:tcPr>
            <w:tcW w:w="82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6.1</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11.29</w:t>
            </w:r>
          </w:p>
        </w:tc>
        <w:tc>
          <w:tcPr>
            <w:tcW w:w="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0.27</w:t>
            </w:r>
          </w:p>
        </w:tc>
        <w:tc>
          <w:tcPr>
            <w:tcW w:w="9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79.1</w:t>
            </w:r>
          </w:p>
        </w:tc>
        <w:tc>
          <w:tcPr>
            <w:tcW w:w="94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17.5</w:t>
            </w:r>
          </w:p>
        </w:tc>
        <w:tc>
          <w:tcPr>
            <w:tcW w:w="92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27.39</w:t>
            </w:r>
          </w:p>
        </w:tc>
        <w:tc>
          <w:tcPr>
            <w:tcW w:w="8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128.9</w:t>
            </w:r>
          </w:p>
        </w:tc>
        <w:tc>
          <w:tcPr>
            <w:tcW w:w="918" w:type="dxa"/>
            <w:tcBorders>
              <w:top w:val="single" w:sz="6" w:space="0" w:color="auto"/>
              <w:left w:val="single" w:sz="6" w:space="0" w:color="auto"/>
              <w:bottom w:val="single" w:sz="6" w:space="0" w:color="auto"/>
              <w:right w:val="single" w:sz="12" w:space="0" w:color="auto"/>
            </w:tcBorders>
            <w:shd w:val="clear" w:color="auto" w:fill="FFFFFF" w:themeFill="background1"/>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51.2</w:t>
            </w:r>
          </w:p>
        </w:tc>
        <w:tc>
          <w:tcPr>
            <w:tcW w:w="716" w:type="dxa"/>
            <w:tcBorders>
              <w:top w:val="single" w:sz="6" w:space="0" w:color="auto"/>
              <w:left w:val="single" w:sz="6" w:space="0" w:color="auto"/>
              <w:bottom w:val="single" w:sz="6" w:space="0" w:color="auto"/>
              <w:right w:val="single" w:sz="12" w:space="0" w:color="auto"/>
            </w:tcBorders>
            <w:shd w:val="clear" w:color="auto" w:fill="FFFFFF" w:themeFill="background1"/>
          </w:tcPr>
          <w:p w:rsidR="00EE0561" w:rsidRPr="005926E1" w:rsidRDefault="00D92038"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8.2</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Median</w:t>
            </w:r>
          </w:p>
        </w:tc>
        <w:tc>
          <w:tcPr>
            <w:tcW w:w="821" w:type="dxa"/>
            <w:tcBorders>
              <w:top w:val="single" w:sz="6" w:space="0" w:color="auto"/>
              <w:left w:val="single" w:sz="12"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7.0</w:t>
            </w:r>
          </w:p>
        </w:tc>
        <w:tc>
          <w:tcPr>
            <w:tcW w:w="921"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11.41</w:t>
            </w:r>
          </w:p>
        </w:tc>
        <w:tc>
          <w:tcPr>
            <w:tcW w:w="835"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0.21</w:t>
            </w:r>
          </w:p>
        </w:tc>
        <w:tc>
          <w:tcPr>
            <w:tcW w:w="911"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78.75</w:t>
            </w:r>
          </w:p>
        </w:tc>
        <w:tc>
          <w:tcPr>
            <w:tcW w:w="941"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17.55</w:t>
            </w:r>
          </w:p>
        </w:tc>
        <w:tc>
          <w:tcPr>
            <w:tcW w:w="921"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26.475</w:t>
            </w:r>
          </w:p>
        </w:tc>
        <w:tc>
          <w:tcPr>
            <w:tcW w:w="857" w:type="dxa"/>
            <w:tcBorders>
              <w:top w:val="single" w:sz="6" w:space="0" w:color="auto"/>
              <w:left w:val="single" w:sz="6" w:space="0" w:color="auto"/>
              <w:bottom w:val="single" w:sz="6" w:space="0" w:color="auto"/>
              <w:right w:val="single" w:sz="6"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123.45</w:t>
            </w:r>
          </w:p>
        </w:tc>
        <w:tc>
          <w:tcPr>
            <w:tcW w:w="918" w:type="dxa"/>
            <w:tcBorders>
              <w:top w:val="single" w:sz="6" w:space="0" w:color="auto"/>
              <w:left w:val="single" w:sz="6" w:space="0" w:color="auto"/>
              <w:bottom w:val="single" w:sz="6" w:space="0" w:color="auto"/>
              <w:right w:val="single" w:sz="12" w:space="0" w:color="auto"/>
            </w:tcBorders>
            <w:vAlign w:val="center"/>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51.85</w:t>
            </w:r>
          </w:p>
        </w:tc>
        <w:tc>
          <w:tcPr>
            <w:tcW w:w="716" w:type="dxa"/>
            <w:tcBorders>
              <w:top w:val="single" w:sz="6" w:space="0" w:color="auto"/>
              <w:left w:val="single" w:sz="6" w:space="0" w:color="auto"/>
              <w:bottom w:val="single" w:sz="6" w:space="0" w:color="auto"/>
              <w:right w:val="single" w:sz="12" w:space="0" w:color="auto"/>
            </w:tcBorders>
          </w:tcPr>
          <w:p w:rsidR="00EE0561" w:rsidRPr="005926E1" w:rsidRDefault="00D92038" w:rsidP="00D92038">
            <w:pPr>
              <w:spacing w:after="0" w:line="240" w:lineRule="auto"/>
              <w:jc w:val="both"/>
              <w:rPr>
                <w:rFonts w:asciiTheme="majorBidi" w:hAnsiTheme="majorBidi" w:cstheme="majorBidi"/>
                <w:sz w:val="22"/>
                <w:szCs w:val="22"/>
              </w:rPr>
            </w:pPr>
            <w:r w:rsidRPr="00D92038">
              <w:rPr>
                <w:rFonts w:asciiTheme="majorBidi" w:hAnsiTheme="majorBidi" w:cstheme="majorBidi"/>
                <w:sz w:val="22"/>
                <w:szCs w:val="22"/>
              </w:rPr>
              <w:t>7.95</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Average</w:t>
            </w:r>
          </w:p>
        </w:tc>
        <w:tc>
          <w:tcPr>
            <w:tcW w:w="821" w:type="dxa"/>
            <w:tcBorders>
              <w:top w:val="single" w:sz="6" w:space="0" w:color="auto"/>
              <w:left w:val="single" w:sz="12"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7.225</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11.587</w:t>
            </w:r>
          </w:p>
        </w:tc>
        <w:tc>
          <w:tcPr>
            <w:tcW w:w="835"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0.211</w:t>
            </w:r>
          </w:p>
        </w:tc>
        <w:tc>
          <w:tcPr>
            <w:tcW w:w="91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76.525</w:t>
            </w:r>
          </w:p>
        </w:tc>
        <w:tc>
          <w:tcPr>
            <w:tcW w:w="94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18</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26.525</w:t>
            </w:r>
          </w:p>
        </w:tc>
        <w:tc>
          <w:tcPr>
            <w:tcW w:w="857"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117.15</w:t>
            </w:r>
          </w:p>
        </w:tc>
        <w:tc>
          <w:tcPr>
            <w:tcW w:w="918" w:type="dxa"/>
            <w:tcBorders>
              <w:top w:val="single" w:sz="6" w:space="0" w:color="auto"/>
              <w:left w:val="single" w:sz="6"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52.263</w:t>
            </w:r>
          </w:p>
        </w:tc>
        <w:tc>
          <w:tcPr>
            <w:tcW w:w="716" w:type="dxa"/>
            <w:tcBorders>
              <w:top w:val="single" w:sz="6" w:space="0" w:color="auto"/>
              <w:left w:val="single" w:sz="6" w:space="0" w:color="auto"/>
              <w:bottom w:val="single" w:sz="6" w:space="0" w:color="auto"/>
              <w:right w:val="single" w:sz="12" w:space="0" w:color="auto"/>
            </w:tcBorders>
          </w:tcPr>
          <w:p w:rsidR="00EE0561" w:rsidRPr="005926E1" w:rsidRDefault="00D92038" w:rsidP="00D92038">
            <w:pPr>
              <w:spacing w:after="0" w:line="240" w:lineRule="auto"/>
              <w:jc w:val="both"/>
              <w:rPr>
                <w:rFonts w:asciiTheme="majorBidi" w:hAnsiTheme="majorBidi" w:cstheme="majorBidi"/>
                <w:sz w:val="22"/>
                <w:szCs w:val="22"/>
              </w:rPr>
            </w:pPr>
            <w:r w:rsidRPr="00D92038">
              <w:rPr>
                <w:rFonts w:asciiTheme="majorBidi" w:hAnsiTheme="majorBidi" w:cstheme="majorBidi"/>
                <w:sz w:val="22"/>
                <w:szCs w:val="22"/>
              </w:rPr>
              <w:t>7.9</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Min</w:t>
            </w:r>
          </w:p>
        </w:tc>
        <w:tc>
          <w:tcPr>
            <w:tcW w:w="821" w:type="dxa"/>
            <w:tcBorders>
              <w:top w:val="single" w:sz="6" w:space="0" w:color="auto"/>
              <w:left w:val="single" w:sz="12"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5.3</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8.08</w:t>
            </w:r>
          </w:p>
        </w:tc>
        <w:tc>
          <w:tcPr>
            <w:tcW w:w="835"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0.15</w:t>
            </w:r>
          </w:p>
        </w:tc>
        <w:tc>
          <w:tcPr>
            <w:tcW w:w="91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61.6</w:t>
            </w:r>
          </w:p>
        </w:tc>
        <w:tc>
          <w:tcPr>
            <w:tcW w:w="94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14.4</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19.55</w:t>
            </w:r>
          </w:p>
        </w:tc>
        <w:tc>
          <w:tcPr>
            <w:tcW w:w="857"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82</w:t>
            </w:r>
          </w:p>
        </w:tc>
        <w:tc>
          <w:tcPr>
            <w:tcW w:w="918" w:type="dxa"/>
            <w:tcBorders>
              <w:top w:val="single" w:sz="6" w:space="0" w:color="auto"/>
              <w:left w:val="single" w:sz="6"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36.1</w:t>
            </w:r>
          </w:p>
        </w:tc>
        <w:tc>
          <w:tcPr>
            <w:tcW w:w="716" w:type="dxa"/>
            <w:tcBorders>
              <w:top w:val="single" w:sz="6" w:space="0" w:color="auto"/>
              <w:left w:val="single" w:sz="6" w:space="0" w:color="auto"/>
              <w:bottom w:val="single" w:sz="6" w:space="0" w:color="auto"/>
              <w:right w:val="single" w:sz="12" w:space="0" w:color="auto"/>
            </w:tcBorders>
          </w:tcPr>
          <w:p w:rsidR="00EE0561" w:rsidRPr="005926E1" w:rsidRDefault="002E1736"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7.5</w:t>
            </w:r>
          </w:p>
        </w:tc>
      </w:tr>
      <w:tr w:rsidR="00EE0561" w:rsidRPr="005926E1" w:rsidTr="00EE0561">
        <w:trPr>
          <w:trHeight w:val="144"/>
          <w:jc w:val="center"/>
        </w:trPr>
        <w:tc>
          <w:tcPr>
            <w:tcW w:w="1399" w:type="dxa"/>
            <w:tcBorders>
              <w:top w:val="single" w:sz="6" w:space="0" w:color="auto"/>
              <w:left w:val="single" w:sz="12"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Max</w:t>
            </w:r>
          </w:p>
        </w:tc>
        <w:tc>
          <w:tcPr>
            <w:tcW w:w="821" w:type="dxa"/>
            <w:tcBorders>
              <w:top w:val="single" w:sz="6" w:space="0" w:color="auto"/>
              <w:left w:val="single" w:sz="12"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9.7</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14.66</w:t>
            </w:r>
          </w:p>
        </w:tc>
        <w:tc>
          <w:tcPr>
            <w:tcW w:w="835"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0.27</w:t>
            </w:r>
          </w:p>
        </w:tc>
        <w:tc>
          <w:tcPr>
            <w:tcW w:w="91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99.1</w:t>
            </w:r>
          </w:p>
        </w:tc>
        <w:tc>
          <w:tcPr>
            <w:tcW w:w="94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21.8</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33.72</w:t>
            </w:r>
          </w:p>
        </w:tc>
        <w:tc>
          <w:tcPr>
            <w:tcW w:w="857"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143.2</w:t>
            </w:r>
          </w:p>
        </w:tc>
        <w:tc>
          <w:tcPr>
            <w:tcW w:w="918" w:type="dxa"/>
            <w:tcBorders>
              <w:top w:val="single" w:sz="6" w:space="0" w:color="auto"/>
              <w:left w:val="single" w:sz="6"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76</w:t>
            </w:r>
          </w:p>
        </w:tc>
        <w:tc>
          <w:tcPr>
            <w:tcW w:w="716" w:type="dxa"/>
            <w:tcBorders>
              <w:top w:val="single" w:sz="6" w:space="0" w:color="auto"/>
              <w:left w:val="single" w:sz="6" w:space="0" w:color="auto"/>
              <w:bottom w:val="single" w:sz="6" w:space="0" w:color="auto"/>
              <w:right w:val="single" w:sz="12" w:space="0" w:color="auto"/>
            </w:tcBorders>
          </w:tcPr>
          <w:p w:rsidR="00EE0561" w:rsidRPr="005926E1" w:rsidRDefault="002E1736" w:rsidP="00A74708">
            <w:pPr>
              <w:spacing w:after="0" w:line="240" w:lineRule="auto"/>
              <w:jc w:val="both"/>
              <w:rPr>
                <w:rFonts w:asciiTheme="majorBidi" w:hAnsiTheme="majorBidi" w:cstheme="majorBidi"/>
                <w:sz w:val="22"/>
                <w:szCs w:val="22"/>
              </w:rPr>
            </w:pPr>
            <w:r>
              <w:rPr>
                <w:rFonts w:asciiTheme="majorBidi" w:hAnsiTheme="majorBidi" w:cstheme="majorBidi"/>
                <w:sz w:val="22"/>
                <w:szCs w:val="22"/>
              </w:rPr>
              <w:t>8.2</w:t>
            </w:r>
          </w:p>
        </w:tc>
      </w:tr>
      <w:tr w:rsidR="00EE0561" w:rsidRPr="005926E1" w:rsidTr="005F0D28">
        <w:trPr>
          <w:trHeight w:val="144"/>
          <w:jc w:val="center"/>
        </w:trPr>
        <w:tc>
          <w:tcPr>
            <w:tcW w:w="1399" w:type="dxa"/>
            <w:tcBorders>
              <w:top w:val="single" w:sz="6" w:space="0" w:color="auto"/>
              <w:left w:val="single" w:sz="12" w:space="0" w:color="auto"/>
              <w:bottom w:val="single" w:sz="6" w:space="0" w:color="auto"/>
              <w:right w:val="single" w:sz="12" w:space="0" w:color="auto"/>
            </w:tcBorders>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Geochemical Background</w:t>
            </w:r>
          </w:p>
          <w:p w:rsidR="00EE0561" w:rsidRPr="005926E1" w:rsidRDefault="00EE0561" w:rsidP="00A74708">
            <w:pPr>
              <w:spacing w:after="0" w:line="240" w:lineRule="auto"/>
              <w:jc w:val="both"/>
              <w:rPr>
                <w:rFonts w:asciiTheme="majorBidi" w:hAnsiTheme="majorBidi" w:cstheme="majorBidi"/>
                <w:sz w:val="22"/>
                <w:szCs w:val="22"/>
                <w:vertAlign w:val="superscript"/>
              </w:rPr>
            </w:pPr>
            <w:r w:rsidRPr="005926E1">
              <w:rPr>
                <w:rFonts w:asciiTheme="majorBidi" w:hAnsiTheme="majorBidi" w:cstheme="majorBidi"/>
                <w:sz w:val="22"/>
                <w:szCs w:val="22"/>
              </w:rPr>
              <w:t xml:space="preserve">Value </w:t>
            </w:r>
            <w:r w:rsidRPr="005926E1">
              <w:rPr>
                <w:rFonts w:asciiTheme="majorBidi" w:hAnsiTheme="majorBidi" w:cstheme="majorBidi"/>
                <w:sz w:val="22"/>
                <w:szCs w:val="22"/>
                <w:vertAlign w:val="superscript"/>
              </w:rPr>
              <w:t>a</w:t>
            </w:r>
          </w:p>
        </w:tc>
        <w:tc>
          <w:tcPr>
            <w:tcW w:w="821" w:type="dxa"/>
            <w:tcBorders>
              <w:top w:val="single" w:sz="6" w:space="0" w:color="auto"/>
              <w:left w:val="single" w:sz="12"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1.7</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14.8</w:t>
            </w:r>
          </w:p>
        </w:tc>
        <w:tc>
          <w:tcPr>
            <w:tcW w:w="835"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w:t>
            </w:r>
          </w:p>
        </w:tc>
        <w:tc>
          <w:tcPr>
            <w:tcW w:w="91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136</w:t>
            </w:r>
          </w:p>
        </w:tc>
        <w:tc>
          <w:tcPr>
            <w:tcW w:w="94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24</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25</w:t>
            </w:r>
          </w:p>
        </w:tc>
        <w:tc>
          <w:tcPr>
            <w:tcW w:w="857"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56</w:t>
            </w:r>
          </w:p>
        </w:tc>
        <w:tc>
          <w:tcPr>
            <w:tcW w:w="918" w:type="dxa"/>
            <w:tcBorders>
              <w:top w:val="single" w:sz="6" w:space="0" w:color="auto"/>
              <w:left w:val="single" w:sz="6"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65</w:t>
            </w:r>
          </w:p>
        </w:tc>
        <w:tc>
          <w:tcPr>
            <w:tcW w:w="716" w:type="dxa"/>
            <w:tcBorders>
              <w:top w:val="single" w:sz="6" w:space="0" w:color="auto"/>
              <w:left w:val="single" w:sz="6" w:space="0" w:color="auto"/>
              <w:bottom w:val="single" w:sz="6" w:space="0" w:color="auto"/>
              <w:right w:val="single" w:sz="12" w:space="0" w:color="auto"/>
            </w:tcBorders>
            <w:vAlign w:val="center"/>
          </w:tcPr>
          <w:p w:rsidR="00EE0561" w:rsidRPr="005926E1" w:rsidRDefault="005F0D28" w:rsidP="005F0D28">
            <w:pPr>
              <w:spacing w:after="0" w:line="240" w:lineRule="auto"/>
              <w:jc w:val="center"/>
              <w:rPr>
                <w:rFonts w:asciiTheme="majorBidi" w:hAnsiTheme="majorBidi" w:cstheme="majorBidi"/>
                <w:sz w:val="22"/>
                <w:szCs w:val="22"/>
              </w:rPr>
            </w:pPr>
            <w:r>
              <w:rPr>
                <w:rFonts w:asciiTheme="majorBidi" w:hAnsiTheme="majorBidi" w:cstheme="majorBidi"/>
                <w:sz w:val="22"/>
                <w:szCs w:val="22"/>
              </w:rPr>
              <w:t>-</w:t>
            </w:r>
          </w:p>
        </w:tc>
      </w:tr>
      <w:tr w:rsidR="00EE0561" w:rsidRPr="005926E1" w:rsidTr="005F0D28">
        <w:trPr>
          <w:trHeight w:val="144"/>
          <w:jc w:val="center"/>
        </w:trPr>
        <w:tc>
          <w:tcPr>
            <w:tcW w:w="1399" w:type="dxa"/>
            <w:tcBorders>
              <w:top w:val="single" w:sz="6" w:space="0" w:color="auto"/>
              <w:left w:val="single" w:sz="12"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vertAlign w:val="superscript"/>
              </w:rPr>
            </w:pPr>
            <w:r w:rsidRPr="005926E1">
              <w:rPr>
                <w:rFonts w:asciiTheme="majorBidi" w:hAnsiTheme="majorBidi" w:cstheme="majorBidi"/>
                <w:sz w:val="22"/>
                <w:szCs w:val="22"/>
              </w:rPr>
              <w:t xml:space="preserve">EPA </w:t>
            </w:r>
            <w:r w:rsidRPr="005926E1">
              <w:rPr>
                <w:rFonts w:asciiTheme="majorBidi" w:hAnsiTheme="majorBidi" w:cstheme="majorBidi"/>
                <w:sz w:val="22"/>
                <w:szCs w:val="22"/>
                <w:vertAlign w:val="superscript"/>
              </w:rPr>
              <w:t>b</w:t>
            </w:r>
          </w:p>
        </w:tc>
        <w:tc>
          <w:tcPr>
            <w:tcW w:w="821" w:type="dxa"/>
            <w:tcBorders>
              <w:top w:val="single" w:sz="6" w:space="0" w:color="auto"/>
              <w:left w:val="single" w:sz="12"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16</w:t>
            </w:r>
          </w:p>
        </w:tc>
        <w:tc>
          <w:tcPr>
            <w:tcW w:w="835"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0.38</w:t>
            </w:r>
          </w:p>
        </w:tc>
        <w:tc>
          <w:tcPr>
            <w:tcW w:w="91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0.4</w:t>
            </w:r>
          </w:p>
        </w:tc>
        <w:tc>
          <w:tcPr>
            <w:tcW w:w="94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w:t>
            </w:r>
          </w:p>
        </w:tc>
        <w:tc>
          <w:tcPr>
            <w:tcW w:w="921"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36</w:t>
            </w:r>
          </w:p>
        </w:tc>
        <w:tc>
          <w:tcPr>
            <w:tcW w:w="857" w:type="dxa"/>
            <w:tcBorders>
              <w:top w:val="single" w:sz="6" w:space="0" w:color="auto"/>
              <w:left w:val="single" w:sz="6" w:space="0" w:color="auto"/>
              <w:bottom w:val="single" w:sz="6"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30</w:t>
            </w:r>
          </w:p>
        </w:tc>
        <w:tc>
          <w:tcPr>
            <w:tcW w:w="918" w:type="dxa"/>
            <w:tcBorders>
              <w:top w:val="single" w:sz="6" w:space="0" w:color="auto"/>
              <w:left w:val="single" w:sz="6" w:space="0" w:color="auto"/>
              <w:bottom w:val="single" w:sz="6"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50</w:t>
            </w:r>
          </w:p>
        </w:tc>
        <w:tc>
          <w:tcPr>
            <w:tcW w:w="716" w:type="dxa"/>
            <w:tcBorders>
              <w:top w:val="single" w:sz="6" w:space="0" w:color="auto"/>
              <w:left w:val="single" w:sz="6" w:space="0" w:color="auto"/>
              <w:bottom w:val="single" w:sz="6" w:space="0" w:color="auto"/>
              <w:right w:val="single" w:sz="12" w:space="0" w:color="auto"/>
            </w:tcBorders>
            <w:vAlign w:val="center"/>
          </w:tcPr>
          <w:p w:rsidR="00EE0561" w:rsidRPr="005926E1" w:rsidRDefault="005F0D28" w:rsidP="005F0D28">
            <w:pPr>
              <w:spacing w:after="0" w:line="240" w:lineRule="auto"/>
              <w:jc w:val="center"/>
              <w:rPr>
                <w:rFonts w:asciiTheme="majorBidi" w:hAnsiTheme="majorBidi" w:cstheme="majorBidi"/>
                <w:sz w:val="22"/>
                <w:szCs w:val="22"/>
              </w:rPr>
            </w:pPr>
            <w:r>
              <w:rPr>
                <w:rFonts w:asciiTheme="majorBidi" w:hAnsiTheme="majorBidi" w:cstheme="majorBidi"/>
                <w:sz w:val="22"/>
                <w:szCs w:val="22"/>
              </w:rPr>
              <w:t>-</w:t>
            </w:r>
          </w:p>
        </w:tc>
      </w:tr>
      <w:tr w:rsidR="00EE0561" w:rsidRPr="005926E1" w:rsidTr="005F0D28">
        <w:trPr>
          <w:trHeight w:val="144"/>
          <w:jc w:val="center"/>
        </w:trPr>
        <w:tc>
          <w:tcPr>
            <w:tcW w:w="1399" w:type="dxa"/>
            <w:tcBorders>
              <w:top w:val="single" w:sz="6" w:space="0" w:color="auto"/>
              <w:left w:val="single" w:sz="12" w:space="0" w:color="auto"/>
              <w:bottom w:val="single" w:sz="12"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vertAlign w:val="superscript"/>
              </w:rPr>
            </w:pPr>
            <w:r w:rsidRPr="005926E1">
              <w:rPr>
                <w:rFonts w:asciiTheme="majorBidi" w:hAnsiTheme="majorBidi" w:cstheme="majorBidi"/>
                <w:sz w:val="22"/>
                <w:szCs w:val="22"/>
              </w:rPr>
              <w:t>WHO Guidelines</w:t>
            </w:r>
            <w:r w:rsidRPr="005926E1">
              <w:rPr>
                <w:rFonts w:asciiTheme="majorBidi" w:hAnsiTheme="majorBidi" w:cstheme="majorBidi"/>
                <w:sz w:val="22"/>
                <w:szCs w:val="22"/>
                <w:vertAlign w:val="superscript"/>
              </w:rPr>
              <w:t xml:space="preserve"> c</w:t>
            </w:r>
          </w:p>
        </w:tc>
        <w:tc>
          <w:tcPr>
            <w:tcW w:w="821" w:type="dxa"/>
            <w:tcBorders>
              <w:top w:val="single" w:sz="6" w:space="0" w:color="auto"/>
              <w:left w:val="single" w:sz="12"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20</w:t>
            </w:r>
          </w:p>
        </w:tc>
        <w:tc>
          <w:tcPr>
            <w:tcW w:w="921"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100</w:t>
            </w:r>
          </w:p>
        </w:tc>
        <w:tc>
          <w:tcPr>
            <w:tcW w:w="835"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w:t>
            </w:r>
          </w:p>
        </w:tc>
        <w:tc>
          <w:tcPr>
            <w:tcW w:w="911"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100</w:t>
            </w:r>
          </w:p>
        </w:tc>
        <w:tc>
          <w:tcPr>
            <w:tcW w:w="941"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50</w:t>
            </w:r>
          </w:p>
        </w:tc>
        <w:tc>
          <w:tcPr>
            <w:tcW w:w="921"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100</w:t>
            </w:r>
          </w:p>
        </w:tc>
        <w:tc>
          <w:tcPr>
            <w:tcW w:w="857" w:type="dxa"/>
            <w:tcBorders>
              <w:top w:val="single" w:sz="6" w:space="0" w:color="auto"/>
              <w:left w:val="single" w:sz="6" w:space="0" w:color="auto"/>
              <w:bottom w:val="single" w:sz="12" w:space="0" w:color="auto"/>
              <w:right w:val="single" w:sz="6"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50</w:t>
            </w:r>
          </w:p>
        </w:tc>
        <w:tc>
          <w:tcPr>
            <w:tcW w:w="918" w:type="dxa"/>
            <w:tcBorders>
              <w:top w:val="single" w:sz="6" w:space="0" w:color="auto"/>
              <w:left w:val="single" w:sz="6" w:space="0" w:color="auto"/>
              <w:bottom w:val="single" w:sz="12" w:space="0" w:color="auto"/>
              <w:right w:val="single" w:sz="12" w:space="0" w:color="auto"/>
            </w:tcBorders>
            <w:vAlign w:val="center"/>
            <w:hideMark/>
          </w:tcPr>
          <w:p w:rsidR="00EE0561" w:rsidRPr="005926E1" w:rsidRDefault="00EE0561"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300</w:t>
            </w:r>
          </w:p>
        </w:tc>
        <w:tc>
          <w:tcPr>
            <w:tcW w:w="716" w:type="dxa"/>
            <w:tcBorders>
              <w:top w:val="single" w:sz="6" w:space="0" w:color="auto"/>
              <w:left w:val="single" w:sz="6" w:space="0" w:color="auto"/>
              <w:bottom w:val="single" w:sz="12" w:space="0" w:color="auto"/>
              <w:right w:val="single" w:sz="12" w:space="0" w:color="auto"/>
            </w:tcBorders>
            <w:vAlign w:val="center"/>
          </w:tcPr>
          <w:p w:rsidR="00EE0561" w:rsidRPr="005926E1" w:rsidRDefault="005F0D28" w:rsidP="005F0D28">
            <w:pPr>
              <w:spacing w:after="0" w:line="240" w:lineRule="auto"/>
              <w:jc w:val="center"/>
              <w:rPr>
                <w:rFonts w:asciiTheme="majorBidi" w:hAnsiTheme="majorBidi" w:cstheme="majorBidi"/>
                <w:sz w:val="22"/>
                <w:szCs w:val="22"/>
              </w:rPr>
            </w:pPr>
            <w:r>
              <w:rPr>
                <w:rFonts w:asciiTheme="majorBidi" w:hAnsiTheme="majorBidi" w:cstheme="majorBidi"/>
                <w:sz w:val="22"/>
                <w:szCs w:val="22"/>
              </w:rPr>
              <w:t>-</w:t>
            </w:r>
          </w:p>
        </w:tc>
      </w:tr>
    </w:tbl>
    <w:p w:rsidR="00A74708" w:rsidRPr="00A74708" w:rsidRDefault="00A74708" w:rsidP="00A74708">
      <w:pPr>
        <w:spacing w:line="240" w:lineRule="auto"/>
        <w:jc w:val="both"/>
        <w:rPr>
          <w:rFonts w:asciiTheme="majorBidi" w:hAnsiTheme="majorBidi" w:cstheme="majorBidi"/>
          <w:sz w:val="24"/>
          <w:szCs w:val="24"/>
        </w:rPr>
      </w:pPr>
      <w:r w:rsidRPr="00A74708">
        <w:rPr>
          <w:rFonts w:asciiTheme="majorBidi" w:hAnsiTheme="majorBidi" w:cstheme="majorBidi"/>
          <w:sz w:val="24"/>
          <w:szCs w:val="24"/>
        </w:rPr>
        <w:t xml:space="preserve">   </w:t>
      </w:r>
      <w:r w:rsidRPr="00A74708">
        <w:rPr>
          <w:rFonts w:asciiTheme="majorBidi" w:hAnsiTheme="majorBidi" w:cstheme="majorBidi"/>
          <w:sz w:val="24"/>
          <w:szCs w:val="24"/>
          <w:vertAlign w:val="superscript"/>
        </w:rPr>
        <w:t>a</w:t>
      </w:r>
      <w:r w:rsidRPr="00A74708">
        <w:rPr>
          <w:rFonts w:asciiTheme="majorBidi" w:hAnsiTheme="majorBidi" w:cstheme="majorBidi"/>
          <w:sz w:val="24"/>
          <w:szCs w:val="24"/>
        </w:rPr>
        <w:t xml:space="preserve"> Wedephol, (1995); </w:t>
      </w:r>
      <w:r w:rsidRPr="00A74708">
        <w:rPr>
          <w:rFonts w:asciiTheme="majorBidi" w:hAnsiTheme="majorBidi" w:cstheme="majorBidi"/>
          <w:sz w:val="24"/>
          <w:szCs w:val="24"/>
          <w:vertAlign w:val="superscript"/>
        </w:rPr>
        <w:t>b</w:t>
      </w:r>
      <w:r w:rsidRPr="00A74708">
        <w:rPr>
          <w:rFonts w:asciiTheme="majorBidi" w:hAnsiTheme="majorBidi" w:cstheme="majorBidi"/>
          <w:sz w:val="24"/>
          <w:szCs w:val="24"/>
        </w:rPr>
        <w:t xml:space="preserve"> EPA Ecological Screening Values, (2005); </w:t>
      </w:r>
      <w:r w:rsidRPr="00A74708">
        <w:rPr>
          <w:rFonts w:asciiTheme="majorBidi" w:hAnsiTheme="majorBidi" w:cstheme="majorBidi"/>
          <w:sz w:val="24"/>
          <w:szCs w:val="24"/>
          <w:vertAlign w:val="superscript"/>
        </w:rPr>
        <w:t>c</w:t>
      </w:r>
      <w:r w:rsidRPr="00A74708">
        <w:rPr>
          <w:rFonts w:asciiTheme="majorBidi" w:hAnsiTheme="majorBidi" w:cstheme="majorBidi"/>
          <w:sz w:val="24"/>
          <w:szCs w:val="24"/>
        </w:rPr>
        <w:t xml:space="preserve"> Chiroma et al., (2014).</w:t>
      </w:r>
    </w:p>
    <w:p w:rsidR="00A74708" w:rsidRPr="00A74708" w:rsidRDefault="00822395" w:rsidP="004D5AAF">
      <w:pPr>
        <w:spacing w:line="24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A74708" w:rsidRPr="00A74708">
        <w:rPr>
          <w:rFonts w:asciiTheme="majorBidi" w:hAnsiTheme="majorBidi" w:cstheme="majorBidi"/>
          <w:sz w:val="24"/>
          <w:szCs w:val="24"/>
        </w:rPr>
        <w:t xml:space="preserve">The heavy metals concentrations in the soil of study area were assessed by comparing with the EPA Sediment Quality Guidelines (SQGs) (U.S. EPA, 1977) shown in (Table </w:t>
      </w:r>
      <w:r w:rsidR="004D5AAF">
        <w:rPr>
          <w:rFonts w:asciiTheme="majorBidi" w:hAnsiTheme="majorBidi" w:cstheme="majorBidi"/>
          <w:sz w:val="24"/>
          <w:szCs w:val="24"/>
        </w:rPr>
        <w:t>6</w:t>
      </w:r>
      <w:r w:rsidR="00A74708" w:rsidRPr="00A74708">
        <w:rPr>
          <w:rFonts w:asciiTheme="majorBidi" w:hAnsiTheme="majorBidi" w:cstheme="majorBidi"/>
          <w:sz w:val="24"/>
          <w:szCs w:val="24"/>
        </w:rPr>
        <w:t xml:space="preserve">). The results showed all sites are non-polluted with Pb, Cd, and Zn, but polluted heavily by Ni, the soil at S6, S7, and S8 is polluted moderately with As and Cu, whereas polluted heavily by Cr. also the S5 and S2 considered as polluted moderately by As, Cr, and Cu, while S3 showed heavy pollute by As and Cr and moderate pollute for Cu. The moderate pollution observed at S1 for As, and heavy pollution for Cr, but it non-polluted with Cu, as well as S4 heavily polluted by As, and exhibit moderate pollute with Cr, also it non-polluted by Cu.  </w:t>
      </w:r>
      <w:r w:rsidR="00A74708" w:rsidRPr="00A74708">
        <w:rPr>
          <w:rFonts w:asciiTheme="majorBidi" w:hAnsiTheme="majorBidi" w:cstheme="majorBidi"/>
          <w:b/>
          <w:bCs/>
          <w:sz w:val="24"/>
          <w:szCs w:val="24"/>
        </w:rPr>
        <w:t xml:space="preserve">      </w:t>
      </w:r>
    </w:p>
    <w:p w:rsidR="00A74708" w:rsidRPr="005926E1" w:rsidRDefault="00A74708" w:rsidP="00A74708">
      <w:pPr>
        <w:spacing w:line="240" w:lineRule="auto"/>
        <w:jc w:val="both"/>
        <w:rPr>
          <w:rFonts w:asciiTheme="majorBidi" w:hAnsiTheme="majorBidi" w:cstheme="majorBidi"/>
          <w:sz w:val="22"/>
          <w:szCs w:val="22"/>
        </w:rPr>
      </w:pPr>
      <w:r w:rsidRPr="00A74708">
        <w:rPr>
          <w:rFonts w:asciiTheme="majorBidi" w:hAnsiTheme="majorBidi" w:cstheme="majorBidi"/>
          <w:b/>
          <w:bCs/>
          <w:sz w:val="24"/>
          <w:szCs w:val="24"/>
        </w:rPr>
        <w:t xml:space="preserve">     </w:t>
      </w:r>
      <w:r w:rsidRPr="005926E1">
        <w:rPr>
          <w:rFonts w:asciiTheme="majorBidi" w:hAnsiTheme="majorBidi" w:cstheme="majorBidi"/>
          <w:b/>
          <w:bCs/>
          <w:sz w:val="22"/>
          <w:szCs w:val="22"/>
        </w:rPr>
        <w:t xml:space="preserve">Table </w:t>
      </w:r>
      <w:r w:rsidR="00055EB6">
        <w:rPr>
          <w:rFonts w:asciiTheme="majorBidi" w:hAnsiTheme="majorBidi" w:cstheme="majorBidi"/>
          <w:b/>
          <w:bCs/>
          <w:sz w:val="22"/>
          <w:szCs w:val="22"/>
        </w:rPr>
        <w:t>6</w:t>
      </w:r>
      <w:r w:rsidRPr="005926E1">
        <w:rPr>
          <w:rFonts w:asciiTheme="majorBidi" w:hAnsiTheme="majorBidi" w:cstheme="majorBidi"/>
          <w:sz w:val="22"/>
          <w:szCs w:val="22"/>
        </w:rPr>
        <w:t xml:space="preserve"> EPA Sediment Quality Guidelines (SQGs) (U.S. EPA, 1977).</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45"/>
        <w:gridCol w:w="1530"/>
        <w:gridCol w:w="2250"/>
        <w:gridCol w:w="1890"/>
        <w:gridCol w:w="1800"/>
      </w:tblGrid>
      <w:tr w:rsidR="00A74708" w:rsidRPr="005926E1" w:rsidTr="000E4C9C">
        <w:trPr>
          <w:trHeight w:val="144"/>
          <w:jc w:val="center"/>
        </w:trPr>
        <w:tc>
          <w:tcPr>
            <w:tcW w:w="1245" w:type="dxa"/>
            <w:tcBorders>
              <w:top w:val="single" w:sz="12" w:space="0" w:color="auto"/>
              <w:left w:val="single" w:sz="12" w:space="0" w:color="auto"/>
              <w:bottom w:val="single" w:sz="12" w:space="0" w:color="auto"/>
              <w:right w:val="single" w:sz="12" w:space="0" w:color="auto"/>
            </w:tcBorders>
            <w:shd w:val="clear" w:color="auto" w:fill="C00000"/>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Metal</w:t>
            </w:r>
          </w:p>
        </w:tc>
        <w:tc>
          <w:tcPr>
            <w:tcW w:w="1530" w:type="dxa"/>
            <w:tcBorders>
              <w:top w:val="single" w:sz="12" w:space="0" w:color="auto"/>
              <w:left w:val="single" w:sz="12" w:space="0" w:color="auto"/>
              <w:bottom w:val="single" w:sz="12" w:space="0" w:color="auto"/>
              <w:right w:val="single" w:sz="12" w:space="0" w:color="auto"/>
            </w:tcBorders>
            <w:shd w:val="clear" w:color="auto" w:fill="C00000"/>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Non-polluted</w:t>
            </w:r>
          </w:p>
        </w:tc>
        <w:tc>
          <w:tcPr>
            <w:tcW w:w="2250" w:type="dxa"/>
            <w:tcBorders>
              <w:top w:val="single" w:sz="12" w:space="0" w:color="auto"/>
              <w:left w:val="single" w:sz="12" w:space="0" w:color="auto"/>
              <w:bottom w:val="single" w:sz="12" w:space="0" w:color="auto"/>
              <w:right w:val="single" w:sz="12" w:space="0" w:color="auto"/>
            </w:tcBorders>
            <w:shd w:val="clear" w:color="auto" w:fill="C00000"/>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Moderately Polluted</w:t>
            </w:r>
          </w:p>
        </w:tc>
        <w:tc>
          <w:tcPr>
            <w:tcW w:w="1890" w:type="dxa"/>
            <w:tcBorders>
              <w:top w:val="single" w:sz="12" w:space="0" w:color="auto"/>
              <w:left w:val="single" w:sz="12" w:space="0" w:color="auto"/>
              <w:bottom w:val="single" w:sz="12" w:space="0" w:color="auto"/>
              <w:right w:val="single" w:sz="12" w:space="0" w:color="auto"/>
            </w:tcBorders>
            <w:shd w:val="clear" w:color="auto" w:fill="C00000"/>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Heavily Polluted</w:t>
            </w:r>
          </w:p>
        </w:tc>
        <w:tc>
          <w:tcPr>
            <w:tcW w:w="1800" w:type="dxa"/>
            <w:tcBorders>
              <w:top w:val="single" w:sz="12" w:space="0" w:color="auto"/>
              <w:left w:val="single" w:sz="12" w:space="0" w:color="auto"/>
              <w:bottom w:val="single" w:sz="12" w:space="0" w:color="auto"/>
              <w:right w:val="single" w:sz="12" w:space="0" w:color="auto"/>
            </w:tcBorders>
            <w:shd w:val="clear" w:color="auto" w:fill="C00000"/>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Present Study</w:t>
            </w:r>
          </w:p>
        </w:tc>
      </w:tr>
      <w:tr w:rsidR="00A74708" w:rsidRPr="005926E1" w:rsidTr="00A74708">
        <w:trPr>
          <w:trHeight w:val="144"/>
          <w:jc w:val="center"/>
        </w:trPr>
        <w:tc>
          <w:tcPr>
            <w:tcW w:w="1245" w:type="dxa"/>
            <w:tcBorders>
              <w:top w:val="single" w:sz="12"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As (ppm)</w:t>
            </w:r>
          </w:p>
        </w:tc>
        <w:tc>
          <w:tcPr>
            <w:tcW w:w="1530" w:type="dxa"/>
            <w:tcBorders>
              <w:top w:val="single" w:sz="12"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3</w:t>
            </w:r>
          </w:p>
        </w:tc>
        <w:tc>
          <w:tcPr>
            <w:tcW w:w="2250" w:type="dxa"/>
            <w:tcBorders>
              <w:top w:val="single" w:sz="12"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 xml:space="preserve">3 – 8 </w:t>
            </w:r>
          </w:p>
        </w:tc>
        <w:tc>
          <w:tcPr>
            <w:tcW w:w="1890" w:type="dxa"/>
            <w:tcBorders>
              <w:top w:val="single" w:sz="12"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&gt;8</w:t>
            </w:r>
          </w:p>
        </w:tc>
        <w:tc>
          <w:tcPr>
            <w:tcW w:w="1800" w:type="dxa"/>
            <w:tcBorders>
              <w:top w:val="single" w:sz="12" w:space="0" w:color="auto"/>
              <w:left w:val="single" w:sz="6" w:space="0" w:color="auto"/>
              <w:bottom w:val="single" w:sz="6" w:space="0" w:color="auto"/>
              <w:right w:val="single" w:sz="12"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5.3 – 9.7</w:t>
            </w:r>
          </w:p>
        </w:tc>
      </w:tr>
      <w:tr w:rsidR="00A74708" w:rsidRPr="005926E1" w:rsidTr="00A74708">
        <w:trPr>
          <w:trHeight w:val="144"/>
          <w:jc w:val="center"/>
        </w:trPr>
        <w:tc>
          <w:tcPr>
            <w:tcW w:w="1245" w:type="dxa"/>
            <w:tcBorders>
              <w:top w:val="single" w:sz="6"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Pb (ppm)</w:t>
            </w:r>
          </w:p>
        </w:tc>
        <w:tc>
          <w:tcPr>
            <w:tcW w:w="153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40</w:t>
            </w:r>
          </w:p>
        </w:tc>
        <w:tc>
          <w:tcPr>
            <w:tcW w:w="225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40 – 60</w:t>
            </w:r>
          </w:p>
        </w:tc>
        <w:tc>
          <w:tcPr>
            <w:tcW w:w="189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&gt;60</w:t>
            </w:r>
          </w:p>
        </w:tc>
        <w:tc>
          <w:tcPr>
            <w:tcW w:w="1800" w:type="dxa"/>
            <w:tcBorders>
              <w:top w:val="single" w:sz="6" w:space="0" w:color="auto"/>
              <w:left w:val="single" w:sz="6" w:space="0" w:color="auto"/>
              <w:bottom w:val="single" w:sz="6" w:space="0" w:color="auto"/>
              <w:right w:val="single" w:sz="12"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8.08 – 14.66</w:t>
            </w:r>
          </w:p>
        </w:tc>
      </w:tr>
      <w:tr w:rsidR="00A74708" w:rsidRPr="005926E1" w:rsidTr="00A74708">
        <w:trPr>
          <w:trHeight w:val="144"/>
          <w:jc w:val="center"/>
        </w:trPr>
        <w:tc>
          <w:tcPr>
            <w:tcW w:w="1245" w:type="dxa"/>
            <w:tcBorders>
              <w:top w:val="single" w:sz="6"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Cd (ppm)</w:t>
            </w:r>
          </w:p>
        </w:tc>
        <w:tc>
          <w:tcPr>
            <w:tcW w:w="153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w:t>
            </w:r>
          </w:p>
        </w:tc>
        <w:tc>
          <w:tcPr>
            <w:tcW w:w="225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w:t>
            </w:r>
          </w:p>
        </w:tc>
        <w:tc>
          <w:tcPr>
            <w:tcW w:w="189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&gt;6</w:t>
            </w:r>
          </w:p>
        </w:tc>
        <w:tc>
          <w:tcPr>
            <w:tcW w:w="1800" w:type="dxa"/>
            <w:tcBorders>
              <w:top w:val="single" w:sz="6" w:space="0" w:color="auto"/>
              <w:left w:val="single" w:sz="6" w:space="0" w:color="auto"/>
              <w:bottom w:val="single" w:sz="6" w:space="0" w:color="auto"/>
              <w:right w:val="single" w:sz="12"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0.15 – 0.27</w:t>
            </w:r>
          </w:p>
        </w:tc>
      </w:tr>
      <w:tr w:rsidR="00A74708" w:rsidRPr="005926E1" w:rsidTr="00A74708">
        <w:trPr>
          <w:trHeight w:val="144"/>
          <w:jc w:val="center"/>
        </w:trPr>
        <w:tc>
          <w:tcPr>
            <w:tcW w:w="1245" w:type="dxa"/>
            <w:tcBorders>
              <w:top w:val="single" w:sz="6"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Cr (ppm)</w:t>
            </w:r>
          </w:p>
        </w:tc>
        <w:tc>
          <w:tcPr>
            <w:tcW w:w="153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25</w:t>
            </w:r>
          </w:p>
        </w:tc>
        <w:tc>
          <w:tcPr>
            <w:tcW w:w="225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25 – 75</w:t>
            </w:r>
          </w:p>
        </w:tc>
        <w:tc>
          <w:tcPr>
            <w:tcW w:w="189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&gt;75</w:t>
            </w:r>
          </w:p>
        </w:tc>
        <w:tc>
          <w:tcPr>
            <w:tcW w:w="1800" w:type="dxa"/>
            <w:tcBorders>
              <w:top w:val="single" w:sz="6" w:space="0" w:color="auto"/>
              <w:left w:val="single" w:sz="6" w:space="0" w:color="auto"/>
              <w:bottom w:val="single" w:sz="6" w:space="0" w:color="auto"/>
              <w:right w:val="single" w:sz="12"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61.6 – 99.1</w:t>
            </w:r>
          </w:p>
        </w:tc>
      </w:tr>
      <w:tr w:rsidR="00A74708" w:rsidRPr="005926E1" w:rsidTr="00A74708">
        <w:trPr>
          <w:trHeight w:val="144"/>
          <w:jc w:val="center"/>
        </w:trPr>
        <w:tc>
          <w:tcPr>
            <w:tcW w:w="1245" w:type="dxa"/>
            <w:tcBorders>
              <w:top w:val="single" w:sz="6"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Cu (ppm)</w:t>
            </w:r>
          </w:p>
        </w:tc>
        <w:tc>
          <w:tcPr>
            <w:tcW w:w="153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25</w:t>
            </w:r>
          </w:p>
        </w:tc>
        <w:tc>
          <w:tcPr>
            <w:tcW w:w="225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25 – 50</w:t>
            </w:r>
          </w:p>
        </w:tc>
        <w:tc>
          <w:tcPr>
            <w:tcW w:w="189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&gt;50</w:t>
            </w:r>
          </w:p>
        </w:tc>
        <w:tc>
          <w:tcPr>
            <w:tcW w:w="1800" w:type="dxa"/>
            <w:tcBorders>
              <w:top w:val="single" w:sz="6" w:space="0" w:color="auto"/>
              <w:left w:val="single" w:sz="6" w:space="0" w:color="auto"/>
              <w:bottom w:val="single" w:sz="6" w:space="0" w:color="auto"/>
              <w:right w:val="single" w:sz="12"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19.55 – 33.72</w:t>
            </w:r>
          </w:p>
        </w:tc>
      </w:tr>
      <w:tr w:rsidR="00A74708" w:rsidRPr="005926E1" w:rsidTr="00A74708">
        <w:trPr>
          <w:trHeight w:val="144"/>
          <w:jc w:val="center"/>
        </w:trPr>
        <w:tc>
          <w:tcPr>
            <w:tcW w:w="1245" w:type="dxa"/>
            <w:tcBorders>
              <w:top w:val="single" w:sz="6" w:space="0" w:color="auto"/>
              <w:left w:val="single" w:sz="12"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Ni (ppm)</w:t>
            </w:r>
          </w:p>
        </w:tc>
        <w:tc>
          <w:tcPr>
            <w:tcW w:w="153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20</w:t>
            </w:r>
          </w:p>
        </w:tc>
        <w:tc>
          <w:tcPr>
            <w:tcW w:w="225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20 – 50</w:t>
            </w:r>
          </w:p>
        </w:tc>
        <w:tc>
          <w:tcPr>
            <w:tcW w:w="1890" w:type="dxa"/>
            <w:tcBorders>
              <w:top w:val="single" w:sz="6" w:space="0" w:color="auto"/>
              <w:left w:val="single" w:sz="6" w:space="0" w:color="auto"/>
              <w:bottom w:val="single" w:sz="6"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&gt;50</w:t>
            </w:r>
          </w:p>
        </w:tc>
        <w:tc>
          <w:tcPr>
            <w:tcW w:w="1800" w:type="dxa"/>
            <w:tcBorders>
              <w:top w:val="single" w:sz="6" w:space="0" w:color="auto"/>
              <w:left w:val="single" w:sz="6" w:space="0" w:color="auto"/>
              <w:bottom w:val="single" w:sz="6" w:space="0" w:color="auto"/>
              <w:right w:val="single" w:sz="12" w:space="0" w:color="auto"/>
            </w:tcBorders>
            <w:vAlign w:val="center"/>
            <w:hideMark/>
          </w:tcPr>
          <w:p w:rsidR="00A74708" w:rsidRPr="005926E1" w:rsidRDefault="00A74708" w:rsidP="00A74708">
            <w:pPr>
              <w:spacing w:after="0" w:line="240" w:lineRule="auto"/>
              <w:rPr>
                <w:rFonts w:asciiTheme="majorBidi" w:hAnsiTheme="majorBidi" w:cstheme="majorBidi"/>
                <w:sz w:val="22"/>
                <w:szCs w:val="22"/>
              </w:rPr>
            </w:pPr>
            <w:r w:rsidRPr="005926E1">
              <w:rPr>
                <w:rFonts w:asciiTheme="majorBidi" w:hAnsiTheme="majorBidi" w:cstheme="majorBidi"/>
                <w:sz w:val="22"/>
                <w:szCs w:val="22"/>
              </w:rPr>
              <w:t>82 – 143.2</w:t>
            </w:r>
          </w:p>
        </w:tc>
      </w:tr>
      <w:tr w:rsidR="00A74708" w:rsidRPr="005926E1" w:rsidTr="00A74708">
        <w:trPr>
          <w:trHeight w:val="144"/>
          <w:jc w:val="center"/>
        </w:trPr>
        <w:tc>
          <w:tcPr>
            <w:tcW w:w="1245" w:type="dxa"/>
            <w:tcBorders>
              <w:top w:val="single" w:sz="6" w:space="0" w:color="auto"/>
              <w:left w:val="single" w:sz="12" w:space="0" w:color="auto"/>
              <w:bottom w:val="single" w:sz="12"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Zn (ppm)</w:t>
            </w:r>
          </w:p>
        </w:tc>
        <w:tc>
          <w:tcPr>
            <w:tcW w:w="1530" w:type="dxa"/>
            <w:tcBorders>
              <w:top w:val="single" w:sz="6" w:space="0" w:color="auto"/>
              <w:left w:val="single" w:sz="6" w:space="0" w:color="auto"/>
              <w:bottom w:val="single" w:sz="12"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&lt; 90</w:t>
            </w:r>
          </w:p>
        </w:tc>
        <w:tc>
          <w:tcPr>
            <w:tcW w:w="2250" w:type="dxa"/>
            <w:tcBorders>
              <w:top w:val="single" w:sz="6" w:space="0" w:color="auto"/>
              <w:left w:val="single" w:sz="6" w:space="0" w:color="auto"/>
              <w:bottom w:val="single" w:sz="12"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90 – 200</w:t>
            </w:r>
          </w:p>
        </w:tc>
        <w:tc>
          <w:tcPr>
            <w:tcW w:w="1890" w:type="dxa"/>
            <w:tcBorders>
              <w:top w:val="single" w:sz="6" w:space="0" w:color="auto"/>
              <w:left w:val="single" w:sz="6" w:space="0" w:color="auto"/>
              <w:bottom w:val="single" w:sz="12" w:space="0" w:color="auto"/>
              <w:right w:val="single" w:sz="6" w:space="0" w:color="auto"/>
            </w:tcBorders>
            <w:hideMark/>
          </w:tcPr>
          <w:p w:rsidR="00A74708" w:rsidRPr="005926E1" w:rsidRDefault="00A74708" w:rsidP="00A74708">
            <w:pPr>
              <w:spacing w:after="0" w:line="240" w:lineRule="auto"/>
              <w:jc w:val="both"/>
              <w:rPr>
                <w:rFonts w:asciiTheme="majorBidi" w:hAnsiTheme="majorBidi" w:cstheme="majorBidi"/>
                <w:sz w:val="22"/>
                <w:szCs w:val="22"/>
              </w:rPr>
            </w:pPr>
            <w:r w:rsidRPr="005926E1">
              <w:rPr>
                <w:rFonts w:asciiTheme="majorBidi" w:hAnsiTheme="majorBidi" w:cstheme="majorBidi"/>
                <w:sz w:val="22"/>
                <w:szCs w:val="22"/>
              </w:rPr>
              <w:t>&gt;200</w:t>
            </w:r>
          </w:p>
        </w:tc>
        <w:tc>
          <w:tcPr>
            <w:tcW w:w="1800" w:type="dxa"/>
            <w:tcBorders>
              <w:top w:val="single" w:sz="6" w:space="0" w:color="auto"/>
              <w:left w:val="single" w:sz="6" w:space="0" w:color="auto"/>
              <w:bottom w:val="single" w:sz="12" w:space="0" w:color="auto"/>
              <w:right w:val="single" w:sz="12" w:space="0" w:color="auto"/>
            </w:tcBorders>
            <w:vAlign w:val="center"/>
          </w:tcPr>
          <w:p w:rsidR="00A74708" w:rsidRPr="005926E1" w:rsidRDefault="00A74708" w:rsidP="00A74708">
            <w:pPr>
              <w:pStyle w:val="ListParagraph"/>
              <w:numPr>
                <w:ilvl w:val="1"/>
                <w:numId w:val="31"/>
              </w:numPr>
              <w:spacing w:after="0" w:line="240" w:lineRule="auto"/>
              <w:rPr>
                <w:rFonts w:asciiTheme="majorBidi" w:hAnsiTheme="majorBidi" w:cstheme="majorBidi"/>
                <w:sz w:val="22"/>
                <w:szCs w:val="22"/>
              </w:rPr>
            </w:pPr>
            <w:r w:rsidRPr="005926E1">
              <w:rPr>
                <w:rFonts w:asciiTheme="majorBidi" w:hAnsiTheme="majorBidi" w:cstheme="majorBidi"/>
                <w:sz w:val="22"/>
                <w:szCs w:val="22"/>
              </w:rPr>
              <w:t xml:space="preserve">– 76 </w:t>
            </w:r>
          </w:p>
        </w:tc>
      </w:tr>
    </w:tbl>
    <w:p w:rsidR="00A74708" w:rsidRPr="00A74708" w:rsidRDefault="00A74708" w:rsidP="00A74708">
      <w:pPr>
        <w:spacing w:line="240" w:lineRule="auto"/>
        <w:jc w:val="both"/>
        <w:rPr>
          <w:rFonts w:asciiTheme="majorBidi" w:hAnsiTheme="majorBidi" w:cstheme="majorBidi"/>
          <w:sz w:val="24"/>
          <w:szCs w:val="24"/>
        </w:rPr>
      </w:pPr>
      <w:r w:rsidRPr="00A74708">
        <w:rPr>
          <w:rFonts w:asciiTheme="majorBidi" w:hAnsiTheme="majorBidi" w:cstheme="majorBidi"/>
          <w:sz w:val="24"/>
          <w:szCs w:val="24"/>
        </w:rPr>
        <w:t xml:space="preserve">     *Lower limits not established.</w:t>
      </w:r>
    </w:p>
    <w:p w:rsidR="006F1500" w:rsidRDefault="00A74708" w:rsidP="006F1500">
      <w:pPr>
        <w:spacing w:line="240" w:lineRule="auto"/>
        <w:jc w:val="both"/>
        <w:rPr>
          <w:rFonts w:asciiTheme="majorBidi" w:hAnsiTheme="majorBidi" w:cstheme="majorBidi"/>
          <w:sz w:val="24"/>
          <w:szCs w:val="24"/>
        </w:rPr>
      </w:pPr>
      <w:r w:rsidRPr="00A74708">
        <w:rPr>
          <w:rFonts w:asciiTheme="majorBidi" w:hAnsiTheme="majorBidi" w:cstheme="majorBidi"/>
          <w:sz w:val="24"/>
          <w:szCs w:val="24"/>
        </w:rPr>
        <w:t xml:space="preserve">     According to EPA Ecological Screening values (EPA, 2005) (Table </w:t>
      </w:r>
      <w:r w:rsidR="004D5AAF">
        <w:rPr>
          <w:rFonts w:asciiTheme="majorBidi" w:hAnsiTheme="majorBidi" w:cstheme="majorBidi"/>
          <w:sz w:val="24"/>
          <w:szCs w:val="24"/>
        </w:rPr>
        <w:t>5</w:t>
      </w:r>
      <w:r w:rsidRPr="00A74708">
        <w:rPr>
          <w:rFonts w:asciiTheme="majorBidi" w:hAnsiTheme="majorBidi" w:cstheme="majorBidi"/>
          <w:sz w:val="24"/>
          <w:szCs w:val="24"/>
        </w:rPr>
        <w:t xml:space="preserve">), the concentrations of As, Pb, Cd, and Cu are lower than EPA Ecological Screening values, while the concentrations of Cr, Co, and Ni are higher than the EPA Ecological Screening values at all soil sampling sites. But Zn at sites (S1, S2, and S4) is lower than EPA Ecological Screening value and at other sites its concentration higher than the same value. The concentrations of As, Pb, Cd, Cr, Co, Cu, and Zn at all sites did not exceed the WHO Guidelines, except the Ni, exceeded the same guidelines (Table </w:t>
      </w:r>
      <w:r w:rsidR="004D5AAF">
        <w:rPr>
          <w:rFonts w:asciiTheme="majorBidi" w:hAnsiTheme="majorBidi" w:cstheme="majorBidi"/>
          <w:sz w:val="24"/>
          <w:szCs w:val="24"/>
        </w:rPr>
        <w:t>5</w:t>
      </w:r>
      <w:r w:rsidRPr="00A74708">
        <w:rPr>
          <w:rFonts w:asciiTheme="majorBidi" w:hAnsiTheme="majorBidi" w:cstheme="majorBidi"/>
          <w:sz w:val="24"/>
          <w:szCs w:val="24"/>
        </w:rPr>
        <w:t xml:space="preserve">). </w:t>
      </w:r>
    </w:p>
    <w:p w:rsidR="00E64A1F" w:rsidRDefault="00E64A1F" w:rsidP="006F1500">
      <w:pPr>
        <w:spacing w:line="240" w:lineRule="auto"/>
        <w:jc w:val="both"/>
        <w:rPr>
          <w:rFonts w:asciiTheme="majorBidi" w:hAnsiTheme="majorBidi" w:cstheme="majorBidi"/>
          <w:sz w:val="24"/>
          <w:szCs w:val="24"/>
        </w:rPr>
      </w:pPr>
    </w:p>
    <w:p w:rsidR="00937D07" w:rsidRPr="006F1500" w:rsidRDefault="0026626B" w:rsidP="006F1500">
      <w:pPr>
        <w:spacing w:line="240" w:lineRule="auto"/>
        <w:jc w:val="both"/>
        <w:rPr>
          <w:rFonts w:asciiTheme="majorBidi" w:hAnsiTheme="majorBidi" w:cstheme="majorBidi"/>
          <w:sz w:val="24"/>
          <w:szCs w:val="24"/>
        </w:rPr>
      </w:pPr>
      <w:r w:rsidRPr="00C329A3">
        <w:rPr>
          <w:rFonts w:asciiTheme="majorBidi" w:hAnsiTheme="majorBidi" w:cstheme="majorBidi"/>
          <w:b/>
          <w:bCs/>
          <w:i/>
          <w:iCs/>
          <w:sz w:val="24"/>
          <w:szCs w:val="24"/>
        </w:rPr>
        <w:t>4.</w:t>
      </w:r>
      <w:r w:rsidR="00232002" w:rsidRPr="00C329A3">
        <w:rPr>
          <w:rFonts w:asciiTheme="majorBidi" w:hAnsiTheme="majorBidi" w:cstheme="majorBidi"/>
          <w:b/>
          <w:bCs/>
          <w:i/>
          <w:iCs/>
          <w:sz w:val="24"/>
          <w:szCs w:val="24"/>
        </w:rPr>
        <w:t xml:space="preserve">3 </w:t>
      </w:r>
      <w:r w:rsidR="00FA68B3" w:rsidRPr="00FA68B3">
        <w:rPr>
          <w:rFonts w:asciiTheme="majorBidi" w:hAnsiTheme="majorBidi" w:cstheme="majorBidi"/>
          <w:b/>
          <w:bCs/>
          <w:i/>
          <w:iCs/>
          <w:sz w:val="24"/>
          <w:szCs w:val="24"/>
        </w:rPr>
        <w:t>Correlation Coefficient of Heavy Metals in Soil of the Study Area:</w:t>
      </w:r>
    </w:p>
    <w:p w:rsidR="00FA68B3" w:rsidRDefault="00FA68B3" w:rsidP="00F87860">
      <w:pPr>
        <w:spacing w:line="240" w:lineRule="auto"/>
        <w:jc w:val="both"/>
        <w:rPr>
          <w:rFonts w:asciiTheme="majorBidi" w:hAnsiTheme="majorBidi" w:cstheme="majorBidi"/>
          <w:sz w:val="24"/>
          <w:szCs w:val="24"/>
        </w:rPr>
      </w:pPr>
      <w:r w:rsidRPr="00FA68B3">
        <w:rPr>
          <w:rFonts w:asciiTheme="majorBidi" w:hAnsiTheme="majorBidi" w:cstheme="majorBidi"/>
          <w:sz w:val="24"/>
          <w:szCs w:val="24"/>
        </w:rPr>
        <w:t xml:space="preserve">     </w:t>
      </w:r>
      <w:bookmarkStart w:id="13" w:name="_Hlk487402444"/>
      <w:r w:rsidRPr="00FA68B3">
        <w:rPr>
          <w:rFonts w:asciiTheme="majorBidi" w:hAnsiTheme="majorBidi" w:cstheme="majorBidi"/>
          <w:sz w:val="24"/>
          <w:szCs w:val="24"/>
        </w:rPr>
        <w:t xml:space="preserve">The Pearson’s correlation coefficient is a statistical method which describe the strength and direction of the relationship between two variables (Table </w:t>
      </w:r>
      <w:r w:rsidR="00137D81">
        <w:rPr>
          <w:rFonts w:asciiTheme="majorBidi" w:hAnsiTheme="majorBidi" w:cstheme="majorBidi"/>
          <w:sz w:val="24"/>
          <w:szCs w:val="24"/>
        </w:rPr>
        <w:t>7</w:t>
      </w:r>
      <w:r w:rsidRPr="00FA68B3">
        <w:rPr>
          <w:rFonts w:asciiTheme="majorBidi" w:hAnsiTheme="majorBidi" w:cstheme="majorBidi"/>
          <w:sz w:val="24"/>
          <w:szCs w:val="24"/>
        </w:rPr>
        <w:t xml:space="preserve">), (Zou et al., 2003), were employed to evaluate the relations among heavy metals (Table </w:t>
      </w:r>
      <w:r w:rsidR="00137D81">
        <w:rPr>
          <w:rFonts w:asciiTheme="majorBidi" w:hAnsiTheme="majorBidi" w:cstheme="majorBidi"/>
          <w:sz w:val="24"/>
          <w:szCs w:val="24"/>
        </w:rPr>
        <w:t>8</w:t>
      </w:r>
      <w:r w:rsidRPr="00FA68B3">
        <w:rPr>
          <w:rFonts w:asciiTheme="majorBidi" w:hAnsiTheme="majorBidi" w:cstheme="majorBidi"/>
          <w:sz w:val="24"/>
          <w:szCs w:val="24"/>
        </w:rPr>
        <w:t xml:space="preserve">), showed strong positive relation between heavy metals pairs of Pb-Zn (r = 0.894), Cr-Ni (r = 0.891), Cr-Zn (r = 0.942), Cu-Ni (r = 0.859), Cu-Zn (r = 0.835), Ni-Zn (r = 0.872), and Co-Cu (r = 0.810). While, the moderate positive relations observed between heavy metals pairs of Pb-Cr (r = 0.783), Pb-Ni (r = 0.733), Cr-Cu (r = 0.774), Pb-Cu (r = 0.7), Cd-Cr (r = 0.705), Cd-Ni (r = 0.663), Cd-Zn (r = 0.509), Cr-Co (r = 0.549), Co-Ni (r = 0.547), Co-Zn (r = 0.520). The high positive </w:t>
      </w:r>
      <w:r w:rsidR="007719D5">
        <w:rPr>
          <w:rFonts w:asciiTheme="majorBidi" w:hAnsiTheme="majorBidi" w:cstheme="majorBidi"/>
          <w:sz w:val="24"/>
          <w:szCs w:val="24"/>
        </w:rPr>
        <w:t>relations</w:t>
      </w:r>
      <w:r w:rsidRPr="00FA68B3">
        <w:rPr>
          <w:rFonts w:asciiTheme="majorBidi" w:hAnsiTheme="majorBidi" w:cstheme="majorBidi"/>
          <w:sz w:val="24"/>
          <w:szCs w:val="24"/>
        </w:rPr>
        <w:t xml:space="preserve"> among heavy metals indicate </w:t>
      </w:r>
      <w:r w:rsidR="007719D5">
        <w:rPr>
          <w:rFonts w:asciiTheme="majorBidi" w:hAnsiTheme="majorBidi" w:cstheme="majorBidi"/>
          <w:sz w:val="24"/>
          <w:szCs w:val="24"/>
        </w:rPr>
        <w:t xml:space="preserve">to </w:t>
      </w:r>
      <w:r w:rsidRPr="00FA68B3">
        <w:rPr>
          <w:rFonts w:asciiTheme="majorBidi" w:hAnsiTheme="majorBidi" w:cstheme="majorBidi"/>
          <w:sz w:val="24"/>
          <w:szCs w:val="24"/>
        </w:rPr>
        <w:t xml:space="preserve">the heavy metals are originated from the same pollution source, </w:t>
      </w:r>
      <w:r w:rsidR="007719D5">
        <w:rPr>
          <w:rFonts w:asciiTheme="majorBidi" w:hAnsiTheme="majorBidi" w:cstheme="majorBidi"/>
          <w:sz w:val="24"/>
          <w:szCs w:val="24"/>
        </w:rPr>
        <w:t>whereas</w:t>
      </w:r>
      <w:r w:rsidRPr="00FA68B3">
        <w:rPr>
          <w:rFonts w:asciiTheme="majorBidi" w:hAnsiTheme="majorBidi" w:cstheme="majorBidi"/>
          <w:sz w:val="24"/>
          <w:szCs w:val="24"/>
        </w:rPr>
        <w:t xml:space="preserve"> the weak </w:t>
      </w:r>
      <w:r w:rsidR="007719D5">
        <w:rPr>
          <w:rFonts w:asciiTheme="majorBidi" w:hAnsiTheme="majorBidi" w:cstheme="majorBidi"/>
          <w:sz w:val="24"/>
          <w:szCs w:val="24"/>
        </w:rPr>
        <w:t>relations</w:t>
      </w:r>
      <w:r w:rsidRPr="00FA68B3">
        <w:rPr>
          <w:rFonts w:asciiTheme="majorBidi" w:hAnsiTheme="majorBidi" w:cstheme="majorBidi"/>
          <w:sz w:val="24"/>
          <w:szCs w:val="24"/>
        </w:rPr>
        <w:t xml:space="preserve"> denoted to differences in </w:t>
      </w:r>
      <w:r w:rsidR="000025D0" w:rsidRPr="00FA68B3">
        <w:rPr>
          <w:rFonts w:asciiTheme="majorBidi" w:hAnsiTheme="majorBidi" w:cstheme="majorBidi"/>
          <w:sz w:val="24"/>
          <w:szCs w:val="24"/>
        </w:rPr>
        <w:t>geochemical behavior</w:t>
      </w:r>
      <w:r w:rsidR="000025D0">
        <w:rPr>
          <w:rFonts w:asciiTheme="majorBidi" w:hAnsiTheme="majorBidi" w:cstheme="majorBidi"/>
          <w:sz w:val="24"/>
          <w:szCs w:val="24"/>
        </w:rPr>
        <w:t xml:space="preserve"> </w:t>
      </w:r>
      <w:r w:rsidR="000025D0" w:rsidRPr="00FA68B3">
        <w:rPr>
          <w:rFonts w:asciiTheme="majorBidi" w:hAnsiTheme="majorBidi" w:cstheme="majorBidi"/>
          <w:sz w:val="24"/>
          <w:szCs w:val="24"/>
        </w:rPr>
        <w:t xml:space="preserve">and source of metals </w:t>
      </w:r>
      <w:r w:rsidRPr="00FA68B3">
        <w:rPr>
          <w:rFonts w:asciiTheme="majorBidi" w:hAnsiTheme="majorBidi" w:cstheme="majorBidi"/>
          <w:sz w:val="24"/>
          <w:szCs w:val="24"/>
        </w:rPr>
        <w:t>(Manta, et al., 2002; Yang, et al., 201</w:t>
      </w:r>
      <w:r w:rsidR="00E4413A">
        <w:rPr>
          <w:rFonts w:asciiTheme="majorBidi" w:hAnsiTheme="majorBidi" w:cstheme="majorBidi"/>
          <w:sz w:val="24"/>
          <w:szCs w:val="24"/>
        </w:rPr>
        <w:t>1</w:t>
      </w:r>
      <w:r w:rsidRPr="00FA68B3">
        <w:rPr>
          <w:rFonts w:asciiTheme="majorBidi" w:hAnsiTheme="majorBidi" w:cstheme="majorBidi"/>
          <w:sz w:val="24"/>
          <w:szCs w:val="24"/>
        </w:rPr>
        <w:t>). While the correlations coefficient of pH with other heavy metals showed no association between them in</w:t>
      </w:r>
      <w:r w:rsidR="00BB735B">
        <w:rPr>
          <w:rFonts w:asciiTheme="majorBidi" w:hAnsiTheme="majorBidi" w:cstheme="majorBidi"/>
          <w:sz w:val="24"/>
          <w:szCs w:val="24"/>
        </w:rPr>
        <w:t xml:space="preserve"> the</w:t>
      </w:r>
      <w:r w:rsidRPr="00FA68B3">
        <w:rPr>
          <w:rFonts w:asciiTheme="majorBidi" w:hAnsiTheme="majorBidi" w:cstheme="majorBidi"/>
          <w:sz w:val="24"/>
          <w:szCs w:val="24"/>
        </w:rPr>
        <w:t xml:space="preserve"> </w:t>
      </w:r>
      <w:r w:rsidRPr="00BB735B">
        <w:rPr>
          <w:rFonts w:asciiTheme="majorBidi" w:hAnsiTheme="majorBidi" w:cstheme="majorBidi"/>
          <w:noProof/>
          <w:sz w:val="24"/>
          <w:szCs w:val="24"/>
        </w:rPr>
        <w:t>soil</w:t>
      </w:r>
      <w:r w:rsidRPr="00FA68B3">
        <w:rPr>
          <w:rFonts w:asciiTheme="majorBidi" w:hAnsiTheme="majorBidi" w:cstheme="majorBidi"/>
          <w:sz w:val="24"/>
          <w:szCs w:val="24"/>
        </w:rPr>
        <w:t xml:space="preserve"> of the study area</w:t>
      </w:r>
      <w:bookmarkEnd w:id="13"/>
      <w:r w:rsidRPr="00FA68B3">
        <w:rPr>
          <w:rFonts w:asciiTheme="majorBidi" w:hAnsiTheme="majorBidi" w:cstheme="majorBidi"/>
          <w:sz w:val="24"/>
          <w:szCs w:val="24"/>
        </w:rPr>
        <w:t>, this attributed to</w:t>
      </w:r>
      <w:r w:rsidR="00BB735B">
        <w:rPr>
          <w:rFonts w:asciiTheme="majorBidi" w:hAnsiTheme="majorBidi" w:cstheme="majorBidi"/>
          <w:sz w:val="24"/>
          <w:szCs w:val="24"/>
        </w:rPr>
        <w:t xml:space="preserve"> the</w:t>
      </w:r>
      <w:r w:rsidRPr="00FA68B3">
        <w:rPr>
          <w:rFonts w:asciiTheme="majorBidi" w:hAnsiTheme="majorBidi" w:cstheme="majorBidi"/>
          <w:sz w:val="24"/>
          <w:szCs w:val="24"/>
        </w:rPr>
        <w:t xml:space="preserve"> </w:t>
      </w:r>
      <w:r w:rsidRPr="00BB735B">
        <w:rPr>
          <w:rFonts w:asciiTheme="majorBidi" w:hAnsiTheme="majorBidi" w:cstheme="majorBidi"/>
          <w:noProof/>
          <w:sz w:val="24"/>
          <w:szCs w:val="24"/>
        </w:rPr>
        <w:t>alkaline soil</w:t>
      </w:r>
      <w:r w:rsidRPr="00FA68B3">
        <w:rPr>
          <w:rFonts w:asciiTheme="majorBidi" w:hAnsiTheme="majorBidi" w:cstheme="majorBidi"/>
          <w:sz w:val="24"/>
          <w:szCs w:val="24"/>
        </w:rPr>
        <w:t xml:space="preserve"> of </w:t>
      </w:r>
      <w:r w:rsidR="00BB735B">
        <w:rPr>
          <w:rFonts w:asciiTheme="majorBidi" w:hAnsiTheme="majorBidi" w:cstheme="majorBidi"/>
          <w:sz w:val="24"/>
          <w:szCs w:val="24"/>
        </w:rPr>
        <w:t>Shewasoor sub-basin</w:t>
      </w:r>
      <w:r w:rsidRPr="00FA68B3">
        <w:rPr>
          <w:rFonts w:asciiTheme="majorBidi" w:hAnsiTheme="majorBidi" w:cstheme="majorBidi"/>
          <w:sz w:val="24"/>
          <w:szCs w:val="24"/>
        </w:rPr>
        <w:t xml:space="preserve"> (Van der Perk, 2006).</w:t>
      </w:r>
    </w:p>
    <w:p w:rsidR="00FA68B3" w:rsidRPr="005926E1" w:rsidRDefault="00FA68B3" w:rsidP="00FA68B3">
      <w:pPr>
        <w:spacing w:line="240" w:lineRule="auto"/>
        <w:rPr>
          <w:rFonts w:asciiTheme="majorBidi" w:hAnsiTheme="majorBidi" w:cstheme="majorBidi"/>
          <w:sz w:val="22"/>
          <w:szCs w:val="22"/>
        </w:rPr>
      </w:pPr>
      <w:r w:rsidRPr="00FA68B3">
        <w:rPr>
          <w:rFonts w:asciiTheme="majorBidi" w:hAnsiTheme="majorBidi" w:cstheme="majorBidi"/>
          <w:sz w:val="24"/>
          <w:szCs w:val="24"/>
        </w:rPr>
        <w:t xml:space="preserve">          </w:t>
      </w:r>
      <w:r>
        <w:rPr>
          <w:rFonts w:asciiTheme="majorBidi" w:hAnsiTheme="majorBidi" w:cstheme="majorBidi"/>
          <w:sz w:val="24"/>
          <w:szCs w:val="24"/>
        </w:rPr>
        <w:t xml:space="preserve">   </w:t>
      </w:r>
      <w:r w:rsidRPr="00FA68B3">
        <w:rPr>
          <w:rFonts w:asciiTheme="majorBidi" w:hAnsiTheme="majorBidi" w:cstheme="majorBidi"/>
          <w:sz w:val="24"/>
          <w:szCs w:val="24"/>
        </w:rPr>
        <w:t xml:space="preserve"> </w:t>
      </w:r>
      <w:bookmarkStart w:id="14" w:name="_Hlk487402481"/>
      <w:r w:rsidRPr="005926E1">
        <w:rPr>
          <w:rFonts w:asciiTheme="majorBidi" w:hAnsiTheme="majorBidi" w:cstheme="majorBidi"/>
          <w:b/>
          <w:bCs/>
          <w:sz w:val="22"/>
          <w:szCs w:val="22"/>
        </w:rPr>
        <w:t xml:space="preserve">Table </w:t>
      </w:r>
      <w:r w:rsidR="002145CF">
        <w:rPr>
          <w:rFonts w:asciiTheme="majorBidi" w:hAnsiTheme="majorBidi" w:cstheme="majorBidi"/>
          <w:b/>
          <w:bCs/>
          <w:sz w:val="22"/>
          <w:szCs w:val="22"/>
        </w:rPr>
        <w:t>7</w:t>
      </w:r>
      <w:r w:rsidRPr="005926E1">
        <w:rPr>
          <w:rFonts w:asciiTheme="majorBidi" w:hAnsiTheme="majorBidi" w:cstheme="majorBidi"/>
          <w:b/>
          <w:bCs/>
          <w:sz w:val="22"/>
          <w:szCs w:val="22"/>
        </w:rPr>
        <w:t xml:space="preserve"> </w:t>
      </w:r>
      <w:r w:rsidRPr="005926E1">
        <w:rPr>
          <w:rFonts w:asciiTheme="majorBidi" w:hAnsiTheme="majorBidi" w:cstheme="majorBidi"/>
          <w:sz w:val="22"/>
          <w:szCs w:val="22"/>
        </w:rPr>
        <w:t>Interpretation of Pearson’s Correlation Coefficient (Zou et al., 2003).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0"/>
        <w:gridCol w:w="5385"/>
      </w:tblGrid>
      <w:tr w:rsidR="00FA68B3" w:rsidRPr="005926E1" w:rsidTr="000E4C9C">
        <w:trPr>
          <w:trHeight w:val="144"/>
          <w:jc w:val="center"/>
        </w:trPr>
        <w:tc>
          <w:tcPr>
            <w:tcW w:w="2250"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Correlation value</w:t>
            </w:r>
          </w:p>
        </w:tc>
        <w:tc>
          <w:tcPr>
            <w:tcW w:w="5385"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Strength and Direction of Correlation</w:t>
            </w:r>
          </w:p>
        </w:tc>
      </w:tr>
      <w:tr w:rsidR="00FA68B3" w:rsidRPr="005926E1" w:rsidTr="00FA68B3">
        <w:trPr>
          <w:trHeight w:val="144"/>
          <w:jc w:val="center"/>
        </w:trPr>
        <w:tc>
          <w:tcPr>
            <w:tcW w:w="2250" w:type="dxa"/>
            <w:tcBorders>
              <w:top w:val="single" w:sz="12"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(-0.8) – (-1.0)</w:t>
            </w:r>
          </w:p>
        </w:tc>
        <w:tc>
          <w:tcPr>
            <w:tcW w:w="5385" w:type="dxa"/>
            <w:tcBorders>
              <w:top w:val="single" w:sz="12"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Strongly negative</w:t>
            </w:r>
          </w:p>
        </w:tc>
      </w:tr>
      <w:tr w:rsidR="00FA68B3" w:rsidRPr="005926E1" w:rsidTr="00FA68B3">
        <w:trPr>
          <w:trHeight w:val="144"/>
          <w:jc w:val="center"/>
        </w:trPr>
        <w:tc>
          <w:tcPr>
            <w:tcW w:w="2250"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(-0.5) – (-0.8)</w:t>
            </w:r>
          </w:p>
        </w:tc>
        <w:tc>
          <w:tcPr>
            <w:tcW w:w="5385" w:type="dxa"/>
            <w:tcBorders>
              <w:top w:val="single" w:sz="6"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Moderately negative</w:t>
            </w:r>
          </w:p>
        </w:tc>
      </w:tr>
      <w:tr w:rsidR="00FA68B3" w:rsidRPr="005926E1" w:rsidTr="00FA68B3">
        <w:trPr>
          <w:trHeight w:val="144"/>
          <w:jc w:val="center"/>
        </w:trPr>
        <w:tc>
          <w:tcPr>
            <w:tcW w:w="2250"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(-0.2) – (-0.5)</w:t>
            </w:r>
          </w:p>
        </w:tc>
        <w:tc>
          <w:tcPr>
            <w:tcW w:w="5385" w:type="dxa"/>
            <w:tcBorders>
              <w:top w:val="single" w:sz="6"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Weakly negative</w:t>
            </w:r>
          </w:p>
        </w:tc>
      </w:tr>
      <w:tr w:rsidR="00FA68B3" w:rsidRPr="005926E1" w:rsidTr="00FA68B3">
        <w:trPr>
          <w:trHeight w:val="144"/>
          <w:jc w:val="center"/>
        </w:trPr>
        <w:tc>
          <w:tcPr>
            <w:tcW w:w="2250"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(+0.2) – (-0.2)</w:t>
            </w:r>
          </w:p>
        </w:tc>
        <w:tc>
          <w:tcPr>
            <w:tcW w:w="5385" w:type="dxa"/>
            <w:tcBorders>
              <w:top w:val="single" w:sz="6"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 xml:space="preserve">No association </w:t>
            </w:r>
          </w:p>
        </w:tc>
      </w:tr>
      <w:tr w:rsidR="00FA68B3" w:rsidRPr="005926E1" w:rsidTr="00FA68B3">
        <w:trPr>
          <w:trHeight w:val="144"/>
          <w:jc w:val="center"/>
        </w:trPr>
        <w:tc>
          <w:tcPr>
            <w:tcW w:w="2250"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(+0.2) – (+0.5)</w:t>
            </w:r>
          </w:p>
        </w:tc>
        <w:tc>
          <w:tcPr>
            <w:tcW w:w="5385" w:type="dxa"/>
            <w:tcBorders>
              <w:top w:val="single" w:sz="6"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Weakly positive</w:t>
            </w:r>
          </w:p>
        </w:tc>
      </w:tr>
      <w:tr w:rsidR="00FA68B3" w:rsidRPr="005926E1" w:rsidTr="00FA68B3">
        <w:trPr>
          <w:trHeight w:val="144"/>
          <w:jc w:val="center"/>
        </w:trPr>
        <w:tc>
          <w:tcPr>
            <w:tcW w:w="2250"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(+0.5) – (+0.8)</w:t>
            </w:r>
          </w:p>
        </w:tc>
        <w:tc>
          <w:tcPr>
            <w:tcW w:w="5385" w:type="dxa"/>
            <w:tcBorders>
              <w:top w:val="single" w:sz="6" w:space="0" w:color="auto"/>
              <w:left w:val="single" w:sz="6" w:space="0" w:color="auto"/>
              <w:bottom w:val="single" w:sz="6"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Moderately positive</w:t>
            </w:r>
          </w:p>
        </w:tc>
      </w:tr>
      <w:tr w:rsidR="00FA68B3" w:rsidRPr="005926E1" w:rsidTr="00FA68B3">
        <w:trPr>
          <w:trHeight w:val="144"/>
          <w:jc w:val="center"/>
        </w:trPr>
        <w:tc>
          <w:tcPr>
            <w:tcW w:w="2250" w:type="dxa"/>
            <w:tcBorders>
              <w:top w:val="single" w:sz="6" w:space="0" w:color="auto"/>
              <w:left w:val="single" w:sz="12" w:space="0" w:color="auto"/>
              <w:bottom w:val="single" w:sz="12" w:space="0" w:color="auto"/>
              <w:right w:val="single" w:sz="6"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(+0.8) – (+1.0)</w:t>
            </w:r>
          </w:p>
        </w:tc>
        <w:tc>
          <w:tcPr>
            <w:tcW w:w="5385" w:type="dxa"/>
            <w:tcBorders>
              <w:top w:val="single" w:sz="6" w:space="0" w:color="auto"/>
              <w:left w:val="single" w:sz="6" w:space="0" w:color="auto"/>
              <w:bottom w:val="single" w:sz="12" w:space="0" w:color="auto"/>
              <w:right w:val="single" w:sz="12" w:space="0" w:color="auto"/>
            </w:tcBorders>
            <w:hideMark/>
          </w:tcPr>
          <w:p w:rsidR="00FA68B3" w:rsidRPr="005926E1" w:rsidRDefault="00FA68B3" w:rsidP="00FA68B3">
            <w:pPr>
              <w:spacing w:after="0" w:line="240" w:lineRule="auto"/>
              <w:rPr>
                <w:rFonts w:asciiTheme="majorBidi" w:hAnsiTheme="majorBidi" w:cstheme="majorBidi"/>
                <w:sz w:val="22"/>
                <w:szCs w:val="22"/>
              </w:rPr>
            </w:pPr>
            <w:r w:rsidRPr="005926E1">
              <w:rPr>
                <w:rFonts w:asciiTheme="majorBidi" w:hAnsiTheme="majorBidi" w:cstheme="majorBidi"/>
                <w:sz w:val="22"/>
                <w:szCs w:val="22"/>
              </w:rPr>
              <w:t>Strongly positive</w:t>
            </w:r>
          </w:p>
        </w:tc>
      </w:tr>
      <w:bookmarkEnd w:id="14"/>
    </w:tbl>
    <w:p w:rsidR="005926E1" w:rsidRDefault="005926E1" w:rsidP="00FA68B3">
      <w:pPr>
        <w:spacing w:line="240" w:lineRule="auto"/>
        <w:rPr>
          <w:rFonts w:asciiTheme="majorBidi" w:hAnsiTheme="majorBidi" w:cstheme="majorBidi"/>
          <w:sz w:val="24"/>
          <w:szCs w:val="24"/>
        </w:rPr>
      </w:pPr>
    </w:p>
    <w:p w:rsidR="00FA68B3" w:rsidRPr="005926E1" w:rsidRDefault="00FA68B3" w:rsidP="00FA68B3">
      <w:pPr>
        <w:spacing w:line="240" w:lineRule="auto"/>
        <w:rPr>
          <w:rFonts w:asciiTheme="majorBidi" w:hAnsiTheme="majorBidi" w:cstheme="majorBidi"/>
          <w:sz w:val="22"/>
          <w:szCs w:val="22"/>
        </w:rPr>
      </w:pPr>
      <w:r w:rsidRPr="00FA68B3">
        <w:rPr>
          <w:rFonts w:asciiTheme="majorBidi" w:hAnsiTheme="majorBidi" w:cstheme="majorBidi"/>
          <w:b/>
          <w:bCs/>
          <w:sz w:val="24"/>
          <w:szCs w:val="24"/>
        </w:rPr>
        <w:t xml:space="preserve">  </w:t>
      </w:r>
      <w:r w:rsidR="00822395">
        <w:rPr>
          <w:rFonts w:asciiTheme="majorBidi" w:hAnsiTheme="majorBidi" w:cstheme="majorBidi"/>
          <w:b/>
          <w:bCs/>
          <w:sz w:val="24"/>
          <w:szCs w:val="24"/>
        </w:rPr>
        <w:t xml:space="preserve"> </w:t>
      </w:r>
      <w:r w:rsidRPr="00FA68B3">
        <w:rPr>
          <w:rFonts w:asciiTheme="majorBidi" w:hAnsiTheme="majorBidi" w:cstheme="majorBidi"/>
          <w:b/>
          <w:bCs/>
          <w:sz w:val="24"/>
          <w:szCs w:val="24"/>
        </w:rPr>
        <w:t xml:space="preserve">  </w:t>
      </w:r>
      <w:r w:rsidRPr="005926E1">
        <w:rPr>
          <w:rFonts w:asciiTheme="majorBidi" w:hAnsiTheme="majorBidi" w:cstheme="majorBidi"/>
          <w:b/>
          <w:bCs/>
          <w:sz w:val="22"/>
          <w:szCs w:val="22"/>
        </w:rPr>
        <w:t xml:space="preserve">Table </w:t>
      </w:r>
      <w:r w:rsidR="002145CF">
        <w:rPr>
          <w:rFonts w:asciiTheme="majorBidi" w:hAnsiTheme="majorBidi" w:cstheme="majorBidi"/>
          <w:b/>
          <w:bCs/>
          <w:sz w:val="22"/>
          <w:szCs w:val="22"/>
        </w:rPr>
        <w:t xml:space="preserve">8 </w:t>
      </w:r>
      <w:r w:rsidRPr="005926E1">
        <w:rPr>
          <w:rFonts w:asciiTheme="majorBidi" w:hAnsiTheme="majorBidi" w:cstheme="majorBidi"/>
          <w:sz w:val="22"/>
          <w:szCs w:val="22"/>
        </w:rPr>
        <w:t>Pearson’s</w:t>
      </w:r>
      <w:r w:rsidRPr="005926E1">
        <w:rPr>
          <w:rFonts w:asciiTheme="majorBidi" w:hAnsiTheme="majorBidi" w:cstheme="majorBidi"/>
          <w:b/>
          <w:bCs/>
          <w:sz w:val="22"/>
          <w:szCs w:val="22"/>
        </w:rPr>
        <w:t xml:space="preserve"> </w:t>
      </w:r>
      <w:r w:rsidRPr="005926E1">
        <w:rPr>
          <w:rFonts w:asciiTheme="majorBidi" w:hAnsiTheme="majorBidi" w:cstheme="majorBidi"/>
          <w:sz w:val="22"/>
          <w:szCs w:val="22"/>
        </w:rPr>
        <w:t>Correlation Matrix Among Heavy Metals in Soil of Study Area.</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889"/>
        <w:gridCol w:w="916"/>
        <w:gridCol w:w="897"/>
        <w:gridCol w:w="900"/>
        <w:gridCol w:w="900"/>
        <w:gridCol w:w="818"/>
        <w:gridCol w:w="916"/>
        <w:gridCol w:w="806"/>
        <w:gridCol w:w="806"/>
      </w:tblGrid>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Metal</w:t>
            </w:r>
          </w:p>
        </w:tc>
        <w:tc>
          <w:tcPr>
            <w:tcW w:w="889"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As</w:t>
            </w:r>
          </w:p>
        </w:tc>
        <w:tc>
          <w:tcPr>
            <w:tcW w:w="916"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Pb</w:t>
            </w:r>
          </w:p>
        </w:tc>
        <w:tc>
          <w:tcPr>
            <w:tcW w:w="897"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Cd</w:t>
            </w:r>
          </w:p>
        </w:tc>
        <w:tc>
          <w:tcPr>
            <w:tcW w:w="900"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Cr</w:t>
            </w:r>
          </w:p>
        </w:tc>
        <w:tc>
          <w:tcPr>
            <w:tcW w:w="900"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Co</w:t>
            </w:r>
          </w:p>
        </w:tc>
        <w:tc>
          <w:tcPr>
            <w:tcW w:w="818"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Cu</w:t>
            </w:r>
          </w:p>
        </w:tc>
        <w:tc>
          <w:tcPr>
            <w:tcW w:w="916"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Ni</w:t>
            </w:r>
          </w:p>
        </w:tc>
        <w:tc>
          <w:tcPr>
            <w:tcW w:w="806" w:type="dxa"/>
            <w:tcBorders>
              <w:top w:val="single" w:sz="12" w:space="0" w:color="auto"/>
              <w:left w:val="single" w:sz="12" w:space="0" w:color="auto"/>
              <w:bottom w:val="single" w:sz="12" w:space="0" w:color="auto"/>
              <w:right w:val="single" w:sz="6"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Zn</w:t>
            </w:r>
          </w:p>
        </w:tc>
        <w:tc>
          <w:tcPr>
            <w:tcW w:w="806"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pH</w:t>
            </w: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bookmarkStart w:id="15" w:name="_Hlk482022175"/>
            <w:r w:rsidRPr="005926E1">
              <w:rPr>
                <w:rFonts w:asciiTheme="majorBidi" w:hAnsiTheme="majorBidi" w:cstheme="majorBidi"/>
                <w:sz w:val="22"/>
                <w:szCs w:val="22"/>
              </w:rPr>
              <w:t>As</w:t>
            </w:r>
          </w:p>
        </w:tc>
        <w:tc>
          <w:tcPr>
            <w:tcW w:w="889" w:type="dxa"/>
            <w:tcBorders>
              <w:top w:val="single" w:sz="12"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6959" w:type="dxa"/>
            <w:gridSpan w:val="8"/>
            <w:tcBorders>
              <w:top w:val="single" w:sz="12"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Pb</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0.420</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6043" w:type="dxa"/>
            <w:gridSpan w:val="7"/>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Cd</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-0.448</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0.269</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5146" w:type="dxa"/>
            <w:gridSpan w:val="6"/>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Cr</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-0.062</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0.783</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0.705</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4246" w:type="dxa"/>
            <w:gridSpan w:val="5"/>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Co</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-0.488</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0.255</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0.271</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0.549</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3346" w:type="dxa"/>
            <w:gridSpan w:val="4"/>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Cu</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-0.260</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0.700</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0.395</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0.774</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0.810</w:t>
            </w:r>
          </w:p>
        </w:tc>
        <w:tc>
          <w:tcPr>
            <w:tcW w:w="818"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2528" w:type="dxa"/>
            <w:gridSpan w:val="3"/>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Ni</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-0.233</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0.733</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0.663</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0.891</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0.547</w:t>
            </w:r>
          </w:p>
        </w:tc>
        <w:tc>
          <w:tcPr>
            <w:tcW w:w="818"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0.859</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1612" w:type="dxa"/>
            <w:gridSpan w:val="2"/>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Zn</w:t>
            </w:r>
          </w:p>
        </w:tc>
        <w:tc>
          <w:tcPr>
            <w:tcW w:w="889" w:type="dxa"/>
            <w:tcBorders>
              <w:top w:val="single" w:sz="6" w:space="0" w:color="auto"/>
              <w:left w:val="single" w:sz="12"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0.035</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0.894</w:t>
            </w:r>
          </w:p>
        </w:tc>
        <w:tc>
          <w:tcPr>
            <w:tcW w:w="897"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0.509</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0.942</w:t>
            </w:r>
          </w:p>
        </w:tc>
        <w:tc>
          <w:tcPr>
            <w:tcW w:w="900"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0.520</w:t>
            </w:r>
          </w:p>
        </w:tc>
        <w:tc>
          <w:tcPr>
            <w:tcW w:w="818"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0.835</w:t>
            </w:r>
          </w:p>
        </w:tc>
        <w:tc>
          <w:tcPr>
            <w:tcW w:w="91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vertAlign w:val="superscript"/>
              </w:rPr>
            </w:pPr>
            <w:r w:rsidRPr="005926E1">
              <w:rPr>
                <w:rFonts w:asciiTheme="majorBidi" w:hAnsiTheme="majorBidi" w:cstheme="majorBidi"/>
                <w:sz w:val="22"/>
                <w:szCs w:val="22"/>
              </w:rPr>
              <w:t>0.872</w:t>
            </w:r>
          </w:p>
        </w:tc>
        <w:tc>
          <w:tcPr>
            <w:tcW w:w="806" w:type="dxa"/>
            <w:tcBorders>
              <w:top w:val="single" w:sz="6" w:space="0" w:color="auto"/>
              <w:left w:val="single" w:sz="6" w:space="0" w:color="auto"/>
              <w:bottom w:val="single" w:sz="6"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c>
          <w:tcPr>
            <w:tcW w:w="806" w:type="dxa"/>
            <w:tcBorders>
              <w:top w:val="single" w:sz="6" w:space="0" w:color="auto"/>
              <w:left w:val="single" w:sz="6" w:space="0" w:color="auto"/>
              <w:bottom w:val="single" w:sz="6" w:space="0" w:color="auto"/>
              <w:right w:val="single" w:sz="12" w:space="0" w:color="auto"/>
            </w:tcBorders>
          </w:tcPr>
          <w:p w:rsidR="00FA68B3" w:rsidRPr="005926E1" w:rsidRDefault="00FA68B3" w:rsidP="00822395">
            <w:pPr>
              <w:spacing w:after="0" w:line="240" w:lineRule="auto"/>
              <w:rPr>
                <w:rFonts w:asciiTheme="majorBidi" w:hAnsiTheme="majorBidi" w:cstheme="majorBidi"/>
                <w:sz w:val="22"/>
                <w:szCs w:val="22"/>
              </w:rPr>
            </w:pPr>
          </w:p>
        </w:tc>
      </w:tr>
      <w:tr w:rsidR="00FA68B3" w:rsidRPr="005926E1" w:rsidTr="000E4C9C">
        <w:trPr>
          <w:trHeight w:val="144"/>
          <w:jc w:val="center"/>
        </w:trPr>
        <w:tc>
          <w:tcPr>
            <w:tcW w:w="793" w:type="dxa"/>
            <w:tcBorders>
              <w:top w:val="single" w:sz="12" w:space="0" w:color="auto"/>
              <w:left w:val="single" w:sz="12" w:space="0" w:color="auto"/>
              <w:bottom w:val="single" w:sz="12" w:space="0" w:color="auto"/>
              <w:right w:val="single" w:sz="12" w:space="0" w:color="auto"/>
            </w:tcBorders>
            <w:shd w:val="clear" w:color="auto" w:fill="C00000"/>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pH</w:t>
            </w:r>
          </w:p>
        </w:tc>
        <w:tc>
          <w:tcPr>
            <w:tcW w:w="889" w:type="dxa"/>
            <w:tcBorders>
              <w:top w:val="single" w:sz="6" w:space="0" w:color="auto"/>
              <w:left w:val="single" w:sz="12"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0.315</w:t>
            </w:r>
          </w:p>
        </w:tc>
        <w:tc>
          <w:tcPr>
            <w:tcW w:w="916"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0.380</w:t>
            </w:r>
          </w:p>
        </w:tc>
        <w:tc>
          <w:tcPr>
            <w:tcW w:w="897"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-0.206</w:t>
            </w:r>
          </w:p>
        </w:tc>
        <w:tc>
          <w:tcPr>
            <w:tcW w:w="900"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-0.017</w:t>
            </w:r>
          </w:p>
        </w:tc>
        <w:tc>
          <w:tcPr>
            <w:tcW w:w="900"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-0.253</w:t>
            </w:r>
          </w:p>
        </w:tc>
        <w:tc>
          <w:tcPr>
            <w:tcW w:w="818"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0.152</w:t>
            </w:r>
          </w:p>
        </w:tc>
        <w:tc>
          <w:tcPr>
            <w:tcW w:w="916"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0.070</w:t>
            </w:r>
          </w:p>
        </w:tc>
        <w:tc>
          <w:tcPr>
            <w:tcW w:w="806" w:type="dxa"/>
            <w:tcBorders>
              <w:top w:val="single" w:sz="6" w:space="0" w:color="auto"/>
              <w:left w:val="single" w:sz="6" w:space="0" w:color="auto"/>
              <w:bottom w:val="single" w:sz="12" w:space="0" w:color="auto"/>
              <w:right w:val="single" w:sz="6"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0.148</w:t>
            </w:r>
          </w:p>
        </w:tc>
        <w:tc>
          <w:tcPr>
            <w:tcW w:w="806" w:type="dxa"/>
            <w:tcBorders>
              <w:top w:val="single" w:sz="6" w:space="0" w:color="auto"/>
              <w:left w:val="single" w:sz="6" w:space="0" w:color="auto"/>
              <w:bottom w:val="single" w:sz="12" w:space="0" w:color="auto"/>
              <w:right w:val="single" w:sz="12" w:space="0" w:color="auto"/>
            </w:tcBorders>
            <w:hideMark/>
          </w:tcPr>
          <w:p w:rsidR="00FA68B3" w:rsidRPr="005926E1" w:rsidRDefault="00FA68B3" w:rsidP="00822395">
            <w:pPr>
              <w:spacing w:after="0" w:line="240" w:lineRule="auto"/>
              <w:rPr>
                <w:rFonts w:asciiTheme="majorBidi" w:hAnsiTheme="majorBidi" w:cstheme="majorBidi"/>
                <w:sz w:val="22"/>
                <w:szCs w:val="22"/>
              </w:rPr>
            </w:pPr>
            <w:r w:rsidRPr="005926E1">
              <w:rPr>
                <w:rFonts w:asciiTheme="majorBidi" w:hAnsiTheme="majorBidi" w:cstheme="majorBidi"/>
                <w:sz w:val="22"/>
                <w:szCs w:val="22"/>
              </w:rPr>
              <w:t>1</w:t>
            </w:r>
          </w:p>
        </w:tc>
      </w:tr>
      <w:bookmarkEnd w:id="15"/>
    </w:tbl>
    <w:p w:rsidR="006570EE" w:rsidRPr="00EB68F0" w:rsidRDefault="006570EE" w:rsidP="00EB68F0">
      <w:pPr>
        <w:spacing w:line="240" w:lineRule="auto"/>
        <w:rPr>
          <w:rFonts w:asciiTheme="majorBidi" w:hAnsiTheme="majorBidi" w:cstheme="majorBidi"/>
          <w:sz w:val="24"/>
          <w:szCs w:val="24"/>
        </w:rPr>
      </w:pPr>
    </w:p>
    <w:p w:rsidR="00A77B0E" w:rsidRPr="00C329A3" w:rsidRDefault="00A77B0E" w:rsidP="00C329A3">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4.</w:t>
      </w:r>
      <w:r w:rsidR="00232002" w:rsidRPr="00C329A3">
        <w:rPr>
          <w:rFonts w:asciiTheme="majorBidi" w:hAnsiTheme="majorBidi" w:cstheme="majorBidi"/>
          <w:b/>
          <w:bCs/>
          <w:i/>
          <w:iCs/>
          <w:sz w:val="24"/>
          <w:szCs w:val="24"/>
        </w:rPr>
        <w:t>8</w:t>
      </w:r>
      <w:r w:rsidRPr="00C329A3">
        <w:rPr>
          <w:rFonts w:asciiTheme="majorBidi" w:hAnsiTheme="majorBidi" w:cstheme="majorBidi"/>
          <w:b/>
          <w:bCs/>
          <w:i/>
          <w:iCs/>
          <w:sz w:val="24"/>
          <w:szCs w:val="24"/>
        </w:rPr>
        <w:t xml:space="preserve"> Potential Ecological Risk Index (RI):</w:t>
      </w:r>
    </w:p>
    <w:p w:rsidR="004F2C54" w:rsidRPr="004F2C54" w:rsidRDefault="004F2C54" w:rsidP="004F2C54">
      <w:pPr>
        <w:spacing w:line="240" w:lineRule="auto"/>
        <w:jc w:val="both"/>
        <w:rPr>
          <w:rFonts w:asciiTheme="majorBidi" w:hAnsiTheme="majorBidi" w:cstheme="majorBidi"/>
          <w:sz w:val="24"/>
          <w:szCs w:val="24"/>
        </w:rPr>
      </w:pPr>
      <w:r w:rsidRPr="004F2C54">
        <w:rPr>
          <w:rFonts w:asciiTheme="majorBidi" w:hAnsiTheme="majorBidi" w:cstheme="majorBidi"/>
          <w:sz w:val="24"/>
          <w:szCs w:val="24"/>
        </w:rPr>
        <w:t xml:space="preserve">     The potential ecological risk index (</w:t>
      </w:r>
      <w:r w:rsidRPr="004F2C54">
        <w:rPr>
          <w:rFonts w:asciiTheme="majorBidi" w:hAnsiTheme="majorBidi" w:cstheme="majorBidi"/>
          <w:i/>
          <w:iCs/>
          <w:sz w:val="24"/>
          <w:szCs w:val="24"/>
        </w:rPr>
        <w:t>RI</w:t>
      </w:r>
      <w:r w:rsidRPr="004F2C54">
        <w:rPr>
          <w:rFonts w:asciiTheme="majorBidi" w:hAnsiTheme="majorBidi" w:cstheme="majorBidi"/>
          <w:sz w:val="24"/>
          <w:szCs w:val="24"/>
        </w:rPr>
        <w:t xml:space="preserve">) was used to evaluate the level of ecological risk in the study area. The results of </w:t>
      </w:r>
      <w:r w:rsidRPr="004F2C54">
        <w:rPr>
          <w:rFonts w:asciiTheme="majorBidi" w:hAnsiTheme="majorBidi" w:cstheme="majorBidi"/>
          <w:i/>
          <w:iCs/>
          <w:sz w:val="24"/>
          <w:szCs w:val="24"/>
        </w:rPr>
        <w:t>RI</w:t>
      </w:r>
      <w:r w:rsidRPr="004F2C54">
        <w:rPr>
          <w:rFonts w:asciiTheme="majorBidi" w:hAnsiTheme="majorBidi" w:cstheme="majorBidi"/>
          <w:sz w:val="24"/>
          <w:szCs w:val="24"/>
        </w:rPr>
        <w:t xml:space="preserve"> showed in (Table </w:t>
      </w:r>
      <w:r w:rsidR="00137D81">
        <w:rPr>
          <w:rFonts w:asciiTheme="majorBidi" w:hAnsiTheme="majorBidi" w:cstheme="majorBidi"/>
          <w:sz w:val="24"/>
          <w:szCs w:val="24"/>
        </w:rPr>
        <w:t>9</w:t>
      </w:r>
      <w:r w:rsidRPr="004F2C54">
        <w:rPr>
          <w:rFonts w:asciiTheme="majorBidi" w:hAnsiTheme="majorBidi" w:cstheme="majorBidi"/>
          <w:sz w:val="24"/>
          <w:szCs w:val="24"/>
        </w:rPr>
        <w:t xml:space="preserve">), and spatial distribution of </w:t>
      </w:r>
      <w:r w:rsidRPr="004F2C54">
        <w:rPr>
          <w:rFonts w:asciiTheme="majorBidi" w:hAnsiTheme="majorBidi" w:cstheme="majorBidi"/>
          <w:i/>
          <w:iCs/>
          <w:sz w:val="24"/>
          <w:szCs w:val="24"/>
        </w:rPr>
        <w:t>RI</w:t>
      </w:r>
      <w:r w:rsidRPr="004F2C54">
        <w:rPr>
          <w:rFonts w:asciiTheme="majorBidi" w:hAnsiTheme="majorBidi" w:cstheme="majorBidi"/>
          <w:sz w:val="24"/>
          <w:szCs w:val="24"/>
        </w:rPr>
        <w:t xml:space="preserve"> shown in (Figure </w:t>
      </w:r>
      <w:r w:rsidR="00137D81">
        <w:rPr>
          <w:rFonts w:asciiTheme="majorBidi" w:hAnsiTheme="majorBidi" w:cstheme="majorBidi"/>
          <w:sz w:val="24"/>
          <w:szCs w:val="24"/>
        </w:rPr>
        <w:t>3</w:t>
      </w:r>
      <w:r w:rsidRPr="004F2C54">
        <w:rPr>
          <w:rFonts w:asciiTheme="majorBidi" w:hAnsiTheme="majorBidi" w:cstheme="majorBidi"/>
          <w:sz w:val="24"/>
          <w:szCs w:val="24"/>
        </w:rPr>
        <w:t>). According to (Hakanson, 1980), the high level of ecological risk was observed at all sites, except site (S2) which show moderate ecological risk.</w:t>
      </w:r>
    </w:p>
    <w:p w:rsidR="00DF70AC" w:rsidRPr="00C329A3" w:rsidRDefault="00DF70AC" w:rsidP="00C329A3">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4.</w:t>
      </w:r>
      <w:r w:rsidR="00232002" w:rsidRPr="00C329A3">
        <w:rPr>
          <w:rFonts w:asciiTheme="majorBidi" w:hAnsiTheme="majorBidi" w:cstheme="majorBidi"/>
          <w:b/>
          <w:bCs/>
          <w:i/>
          <w:iCs/>
          <w:sz w:val="24"/>
          <w:szCs w:val="24"/>
        </w:rPr>
        <w:t>9</w:t>
      </w:r>
      <w:r w:rsidRPr="00C329A3">
        <w:rPr>
          <w:rFonts w:asciiTheme="majorBidi" w:hAnsiTheme="majorBidi" w:cstheme="majorBidi"/>
          <w:b/>
          <w:bCs/>
          <w:i/>
          <w:iCs/>
          <w:sz w:val="24"/>
          <w:szCs w:val="24"/>
        </w:rPr>
        <w:t xml:space="preserve"> Nemerow Pollution Index (</w:t>
      </w:r>
      <m:oMath>
        <m:sSub>
          <m:sSubPr>
            <m:ctrlPr>
              <w:rPr>
                <w:rFonts w:ascii="Cambria Math" w:hAnsi="Cambria Math" w:cstheme="majorBidi"/>
                <w:b/>
                <w:bCs/>
                <w:i/>
                <w:iCs/>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N</m:t>
            </m:r>
          </m:sub>
        </m:sSub>
      </m:oMath>
      <w:r w:rsidRPr="00C329A3">
        <w:rPr>
          <w:rFonts w:asciiTheme="majorBidi" w:hAnsiTheme="majorBidi" w:cstheme="majorBidi"/>
          <w:b/>
          <w:bCs/>
          <w:i/>
          <w:iCs/>
          <w:sz w:val="24"/>
          <w:szCs w:val="24"/>
        </w:rPr>
        <w:t>):</w:t>
      </w:r>
    </w:p>
    <w:p w:rsidR="004F2C54" w:rsidRPr="004F2C54" w:rsidRDefault="004F2C54" w:rsidP="004F2C54">
      <w:pPr>
        <w:spacing w:line="240" w:lineRule="auto"/>
        <w:jc w:val="both"/>
        <w:rPr>
          <w:rFonts w:asciiTheme="majorBidi" w:hAnsiTheme="majorBidi" w:cstheme="majorBidi"/>
          <w:sz w:val="24"/>
          <w:szCs w:val="24"/>
        </w:rPr>
      </w:pPr>
      <w:r w:rsidRPr="004F2C54">
        <w:rPr>
          <w:rFonts w:asciiTheme="majorBidi" w:hAnsiTheme="majorBidi" w:cstheme="majorBidi"/>
          <w:sz w:val="24"/>
          <w:szCs w:val="24"/>
        </w:rPr>
        <w:t xml:space="preserve">     Degree of heavy metals contamination was evaluated by using Nemerow pollution index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4F2C54">
        <w:rPr>
          <w:rFonts w:asciiTheme="majorBidi" w:hAnsiTheme="majorBidi" w:cstheme="majorBidi"/>
          <w:sz w:val="24"/>
          <w:szCs w:val="24"/>
        </w:rPr>
        <w:t xml:space="preserve">). The results of Nemerow pollution index listed in (Table </w:t>
      </w:r>
      <w:r w:rsidR="00137D81">
        <w:rPr>
          <w:rFonts w:asciiTheme="majorBidi" w:hAnsiTheme="majorBidi" w:cstheme="majorBidi"/>
          <w:sz w:val="24"/>
          <w:szCs w:val="24"/>
        </w:rPr>
        <w:t>9</w:t>
      </w:r>
      <w:r w:rsidRPr="004F2C54">
        <w:rPr>
          <w:rFonts w:asciiTheme="majorBidi" w:hAnsiTheme="majorBidi" w:cstheme="majorBidi"/>
          <w:sz w:val="24"/>
          <w:szCs w:val="24"/>
        </w:rPr>
        <w:t xml:space="preserve">), and spatial distribution of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4F2C54">
        <w:rPr>
          <w:rFonts w:asciiTheme="majorBidi" w:hAnsiTheme="majorBidi" w:cstheme="majorBidi"/>
          <w:sz w:val="24"/>
          <w:szCs w:val="24"/>
        </w:rPr>
        <w:t xml:space="preserve"> shown in (Figure </w:t>
      </w:r>
      <w:r w:rsidR="00137D81">
        <w:rPr>
          <w:rFonts w:asciiTheme="majorBidi" w:hAnsiTheme="majorBidi" w:cstheme="majorBidi"/>
          <w:sz w:val="24"/>
          <w:szCs w:val="24"/>
        </w:rPr>
        <w:t>3</w:t>
      </w:r>
      <w:r w:rsidRPr="004F2C54">
        <w:rPr>
          <w:rFonts w:asciiTheme="majorBidi" w:hAnsiTheme="majorBidi" w:cstheme="majorBidi"/>
          <w:sz w:val="24"/>
          <w:szCs w:val="24"/>
        </w:rPr>
        <w:t xml:space="preserve">). According to </w:t>
      </w:r>
      <w:r w:rsidRPr="004F2C54">
        <w:rPr>
          <w:rFonts w:asciiTheme="majorBidi" w:hAnsiTheme="majorBidi" w:cstheme="majorBidi"/>
          <w:iCs/>
          <w:sz w:val="24"/>
          <w:szCs w:val="24"/>
        </w:rPr>
        <w:t>(Chen et al., 2015</w:t>
      </w:r>
      <w:r w:rsidRPr="00C9786F">
        <w:rPr>
          <w:rFonts w:asciiTheme="majorBidi" w:hAnsiTheme="majorBidi" w:cstheme="majorBidi"/>
          <w:iCs/>
          <w:noProof/>
          <w:sz w:val="24"/>
          <w:szCs w:val="24"/>
        </w:rPr>
        <w:t>)</w:t>
      </w:r>
      <w:r w:rsidRPr="00C9786F">
        <w:rPr>
          <w:rFonts w:asciiTheme="majorBidi" w:hAnsiTheme="majorBidi" w:cstheme="majorBidi"/>
          <w:noProof/>
          <w:sz w:val="24"/>
          <w:szCs w:val="24"/>
        </w:rPr>
        <w:t xml:space="preserve"> the</w:t>
      </w:r>
      <w:r w:rsidR="00C9786F">
        <w:rPr>
          <w:rFonts w:asciiTheme="majorBidi" w:hAnsiTheme="majorBidi" w:cstheme="majorBidi"/>
          <w:noProof/>
          <w:sz w:val="24"/>
          <w:szCs w:val="24"/>
        </w:rPr>
        <w:t>,</w:t>
      </w:r>
      <w:r w:rsidRPr="004F2C54">
        <w:rPr>
          <w:rFonts w:asciiTheme="majorBidi" w:hAnsiTheme="majorBidi" w:cstheme="majorBidi"/>
          <w:sz w:val="24"/>
          <w:szCs w:val="24"/>
        </w:rPr>
        <w:t xml:space="preserve"> soil has been moderately contaminated at sites (S1, S2, and S8), whereas the soil has been severely contaminated at all other sites.</w:t>
      </w:r>
    </w:p>
    <w:p w:rsidR="00791EB6" w:rsidRPr="006570EE" w:rsidRDefault="00791EB6" w:rsidP="006570EE">
      <w:pPr>
        <w:spacing w:line="240" w:lineRule="auto"/>
        <w:jc w:val="both"/>
        <w:rPr>
          <w:rFonts w:asciiTheme="majorBidi" w:hAnsiTheme="majorBidi" w:cstheme="majorBidi"/>
          <w:sz w:val="24"/>
          <w:szCs w:val="24"/>
        </w:rPr>
      </w:pPr>
      <w:r w:rsidRPr="00537760">
        <w:rPr>
          <w:rFonts w:asciiTheme="majorBidi" w:hAnsiTheme="majorBidi" w:cstheme="majorBidi"/>
          <w:b/>
          <w:bCs/>
          <w:iCs/>
          <w:sz w:val="22"/>
          <w:szCs w:val="22"/>
        </w:rPr>
        <w:t xml:space="preserve">Table </w:t>
      </w:r>
      <w:r w:rsidR="002145CF">
        <w:rPr>
          <w:rFonts w:asciiTheme="majorBidi" w:hAnsiTheme="majorBidi" w:cstheme="majorBidi"/>
          <w:b/>
          <w:bCs/>
          <w:iCs/>
          <w:sz w:val="22"/>
          <w:szCs w:val="22"/>
        </w:rPr>
        <w:t>9</w:t>
      </w:r>
      <w:r w:rsidRPr="00537760">
        <w:rPr>
          <w:rFonts w:asciiTheme="majorBidi" w:hAnsiTheme="majorBidi" w:cstheme="majorBidi"/>
          <w:b/>
          <w:bCs/>
          <w:iCs/>
          <w:sz w:val="22"/>
          <w:szCs w:val="22"/>
        </w:rPr>
        <w:t xml:space="preserve"> </w:t>
      </w:r>
      <w:r w:rsidRPr="00537760">
        <w:rPr>
          <w:rFonts w:asciiTheme="majorBidi" w:hAnsiTheme="majorBidi" w:cstheme="majorBidi"/>
          <w:iCs/>
          <w:sz w:val="22"/>
          <w:szCs w:val="22"/>
        </w:rPr>
        <w:t xml:space="preserve">Ecological Risk Index and Nemerow Pollution Index of Heavy Metals in </w:t>
      </w:r>
      <w:r w:rsidR="009D5BE1">
        <w:rPr>
          <w:rFonts w:asciiTheme="majorBidi" w:hAnsiTheme="majorBidi" w:cstheme="majorBidi"/>
          <w:iCs/>
          <w:sz w:val="22"/>
          <w:szCs w:val="22"/>
        </w:rPr>
        <w:t xml:space="preserve">the </w:t>
      </w:r>
      <w:r w:rsidRPr="00537760">
        <w:rPr>
          <w:rFonts w:asciiTheme="majorBidi" w:hAnsiTheme="majorBidi" w:cstheme="majorBidi"/>
          <w:iCs/>
          <w:sz w:val="22"/>
          <w:szCs w:val="22"/>
        </w:rPr>
        <w:t>Soil</w:t>
      </w:r>
      <w:r w:rsidR="00DC1C59">
        <w:rPr>
          <w:rFonts w:asciiTheme="majorBidi" w:hAnsiTheme="majorBidi" w:cstheme="majorBidi"/>
          <w:iCs/>
          <w:sz w:val="22"/>
          <w:szCs w:val="22"/>
        </w:rPr>
        <w:t xml:space="preserve"> </w:t>
      </w:r>
      <w:r w:rsidR="00C9786F" w:rsidRPr="009D5BE1">
        <w:rPr>
          <w:rFonts w:asciiTheme="majorBidi" w:hAnsiTheme="majorBidi" w:cstheme="majorBidi"/>
          <w:iCs/>
          <w:noProof/>
          <w:sz w:val="22"/>
          <w:szCs w:val="22"/>
        </w:rPr>
        <w:t>of</w:t>
      </w:r>
      <w:r w:rsidR="00C9786F">
        <w:rPr>
          <w:rFonts w:asciiTheme="majorBidi" w:hAnsiTheme="majorBidi" w:cstheme="majorBidi"/>
          <w:iCs/>
          <w:sz w:val="22"/>
          <w:szCs w:val="22"/>
        </w:rPr>
        <w:t xml:space="preserve"> </w:t>
      </w:r>
      <w:r w:rsidR="00DC1C59">
        <w:rPr>
          <w:rFonts w:asciiTheme="majorBidi" w:hAnsiTheme="majorBidi" w:cstheme="majorBidi"/>
          <w:iCs/>
          <w:sz w:val="22"/>
          <w:szCs w:val="22"/>
        </w:rPr>
        <w:t>Study Area</w:t>
      </w:r>
      <w:r w:rsidRPr="00537760">
        <w:rPr>
          <w:rFonts w:asciiTheme="majorBidi" w:hAnsiTheme="majorBidi" w:cstheme="majorBidi"/>
          <w:iCs/>
          <w:sz w:val="22"/>
          <w:szCs w:val="22"/>
        </w:rPr>
        <w:t>.</w:t>
      </w:r>
    </w:p>
    <w:tbl>
      <w:tblPr>
        <w:tblStyle w:val="TableGrid13"/>
        <w:tblW w:w="0" w:type="auto"/>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75"/>
        <w:gridCol w:w="1080"/>
        <w:gridCol w:w="1800"/>
        <w:gridCol w:w="1170"/>
        <w:gridCol w:w="4215"/>
      </w:tblGrid>
      <w:tr w:rsidR="004F2C54" w:rsidRPr="003B5AE7" w:rsidTr="000E4C9C">
        <w:trPr>
          <w:trHeight w:val="144"/>
          <w:jc w:val="center"/>
        </w:trPr>
        <w:tc>
          <w:tcPr>
            <w:tcW w:w="975" w:type="dxa"/>
            <w:vMerge w:val="restart"/>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hAnsi="Times New Roman" w:cs="Times New Roman"/>
                <w:sz w:val="22"/>
                <w:szCs w:val="22"/>
              </w:rPr>
            </w:pPr>
            <w:r w:rsidRPr="003B5AE7">
              <w:rPr>
                <w:rFonts w:ascii="Times New Roman" w:eastAsia="Calibri" w:hAnsi="Times New Roman" w:cs="Times New Roman"/>
                <w:sz w:val="22"/>
                <w:szCs w:val="22"/>
              </w:rPr>
              <w:t>Site Name</w:t>
            </w:r>
          </w:p>
        </w:tc>
        <w:tc>
          <w:tcPr>
            <w:tcW w:w="2880" w:type="dxa"/>
            <w:gridSpan w:val="2"/>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Ecological Risk Index (RI)</w:t>
            </w:r>
          </w:p>
        </w:tc>
        <w:tc>
          <w:tcPr>
            <w:tcW w:w="5385" w:type="dxa"/>
            <w:gridSpan w:val="2"/>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Nemerow pollution index (</w:t>
            </w:r>
            <m:oMath>
              <m:sSub>
                <m:sSubPr>
                  <m:ctrlPr>
                    <w:rPr>
                      <w:rFonts w:ascii="Cambria Math" w:eastAsia="Calibri" w:hAnsi="Cambria Math" w:cs="Times New Roman"/>
                      <w:i/>
                      <w:iCs/>
                      <w:sz w:val="22"/>
                      <w:szCs w:val="22"/>
                    </w:rPr>
                  </m:ctrlPr>
                </m:sSubPr>
                <m:e>
                  <m:r>
                    <w:rPr>
                      <w:rFonts w:ascii="Cambria Math" w:eastAsia="Calibri" w:hAnsi="Cambria Math" w:cs="Times New Roman"/>
                      <w:sz w:val="22"/>
                      <w:szCs w:val="22"/>
                    </w:rPr>
                    <m:t>P</m:t>
                  </m:r>
                </m:e>
                <m:sub>
                  <m:r>
                    <w:rPr>
                      <w:rFonts w:ascii="Cambria Math" w:eastAsia="Calibri" w:hAnsi="Cambria Math" w:cs="Times New Roman"/>
                      <w:sz w:val="22"/>
                      <w:szCs w:val="22"/>
                    </w:rPr>
                    <m:t>N</m:t>
                  </m:r>
                </m:sub>
              </m:sSub>
            </m:oMath>
            <w:r w:rsidRPr="003B5AE7">
              <w:rPr>
                <w:rFonts w:ascii="Times New Roman" w:eastAsia="Calibri" w:hAnsi="Times New Roman" w:cs="Times New Roman"/>
                <w:iCs/>
                <w:sz w:val="22"/>
                <w:szCs w:val="22"/>
              </w:rPr>
              <w:t>)</w:t>
            </w:r>
          </w:p>
        </w:tc>
      </w:tr>
      <w:tr w:rsidR="004F2C54" w:rsidRPr="003B5AE7" w:rsidTr="000E4C9C">
        <w:trPr>
          <w:trHeight w:val="144"/>
          <w:jc w:val="center"/>
        </w:trPr>
        <w:tc>
          <w:tcPr>
            <w:tcW w:w="0" w:type="auto"/>
            <w:vMerge/>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rPr>
                <w:rFonts w:ascii="Times New Roman" w:hAnsi="Times New Roman" w:cs="Times New Roman"/>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RI value</w:t>
            </w:r>
          </w:p>
        </w:tc>
        <w:tc>
          <w:tcPr>
            <w:tcW w:w="1800"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Risk Level</w:t>
            </w:r>
          </w:p>
        </w:tc>
        <w:tc>
          <w:tcPr>
            <w:tcW w:w="1170"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CC313B" w:rsidP="004F2C54">
            <w:pPr>
              <w:jc w:val="center"/>
              <w:rPr>
                <w:rFonts w:ascii="Times New Roman" w:eastAsia="Calibri" w:hAnsi="Times New Roman" w:cs="Times New Roman"/>
                <w:sz w:val="22"/>
                <w:szCs w:val="22"/>
              </w:rPr>
            </w:pPr>
            <m:oMath>
              <m:sSub>
                <m:sSubPr>
                  <m:ctrlPr>
                    <w:rPr>
                      <w:rFonts w:ascii="Cambria Math" w:eastAsia="Calibri" w:hAnsi="Cambria Math" w:cs="Times New Roman"/>
                      <w:i/>
                      <w:iCs/>
                      <w:sz w:val="22"/>
                      <w:szCs w:val="22"/>
                    </w:rPr>
                  </m:ctrlPr>
                </m:sSubPr>
                <m:e>
                  <m:r>
                    <w:rPr>
                      <w:rFonts w:ascii="Cambria Math" w:eastAsia="Calibri" w:hAnsi="Cambria Math" w:cs="Times New Roman"/>
                      <w:sz w:val="22"/>
                      <w:szCs w:val="22"/>
                    </w:rPr>
                    <m:t>P</m:t>
                  </m:r>
                </m:e>
                <m:sub>
                  <m:r>
                    <w:rPr>
                      <w:rFonts w:ascii="Cambria Math" w:eastAsia="Calibri" w:hAnsi="Cambria Math" w:cs="Times New Roman"/>
                      <w:sz w:val="22"/>
                      <w:szCs w:val="22"/>
                    </w:rPr>
                    <m:t>N</m:t>
                  </m:r>
                </m:sub>
              </m:sSub>
            </m:oMath>
            <w:r w:rsidR="004F2C54" w:rsidRPr="003B5AE7">
              <w:rPr>
                <w:rFonts w:ascii="Times New Roman" w:eastAsia="Calibri" w:hAnsi="Times New Roman" w:cs="Times New Roman"/>
                <w:iCs/>
                <w:sz w:val="22"/>
                <w:szCs w:val="22"/>
              </w:rPr>
              <w:t xml:space="preserve">  value</w:t>
            </w:r>
          </w:p>
        </w:tc>
        <w:tc>
          <w:tcPr>
            <w:tcW w:w="4215" w:type="dxa"/>
            <w:tcBorders>
              <w:top w:val="single" w:sz="12" w:space="0" w:color="auto"/>
              <w:left w:val="single" w:sz="12" w:space="0" w:color="auto"/>
              <w:bottom w:val="single" w:sz="12" w:space="0" w:color="auto"/>
              <w:right w:val="single" w:sz="12" w:space="0" w:color="auto"/>
            </w:tcBorders>
            <w:shd w:val="clear" w:color="auto" w:fill="C00000"/>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Contamination Level</w:t>
            </w:r>
          </w:p>
        </w:tc>
      </w:tr>
      <w:tr w:rsidR="004F2C54" w:rsidRPr="003B5AE7" w:rsidTr="004F2C54">
        <w:trPr>
          <w:trHeight w:val="144"/>
          <w:jc w:val="center"/>
        </w:trPr>
        <w:tc>
          <w:tcPr>
            <w:tcW w:w="975" w:type="dxa"/>
            <w:tcBorders>
              <w:top w:val="single" w:sz="12"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S1</w:t>
            </w:r>
          </w:p>
        </w:tc>
        <w:tc>
          <w:tcPr>
            <w:tcW w:w="1080" w:type="dxa"/>
            <w:tcBorders>
              <w:top w:val="single" w:sz="12"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134.91</w:t>
            </w:r>
          </w:p>
        </w:tc>
        <w:tc>
          <w:tcPr>
            <w:tcW w:w="1800" w:type="dxa"/>
            <w:tcBorders>
              <w:top w:val="single" w:sz="12"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12"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2.99</w:t>
            </w:r>
          </w:p>
        </w:tc>
        <w:tc>
          <w:tcPr>
            <w:tcW w:w="4215" w:type="dxa"/>
            <w:tcBorders>
              <w:top w:val="single" w:sz="12"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Soil has been Moderately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S2</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98.92</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Moderate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2.36</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Soil has been Moderately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S3</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120.36</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3.80</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Soil has been Severely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S4</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121.54</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4.17</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Soil has been Severely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S5</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108.41</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3.20</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Soil has been Severely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S6</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145.24</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3.10</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Soil has been Severely Contamination</w:t>
            </w:r>
          </w:p>
        </w:tc>
      </w:tr>
      <w:tr w:rsidR="004F2C54" w:rsidRPr="003B5AE7" w:rsidTr="004F2C54">
        <w:trPr>
          <w:trHeight w:val="144"/>
          <w:jc w:val="center"/>
        </w:trPr>
        <w:tc>
          <w:tcPr>
            <w:tcW w:w="975" w:type="dxa"/>
            <w:tcBorders>
              <w:top w:val="single" w:sz="6" w:space="0" w:color="auto"/>
              <w:left w:val="single" w:sz="12" w:space="0" w:color="auto"/>
              <w:bottom w:val="single" w:sz="6"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S7</w:t>
            </w:r>
          </w:p>
        </w:tc>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149.87</w:t>
            </w:r>
          </w:p>
        </w:tc>
        <w:tc>
          <w:tcPr>
            <w:tcW w:w="1800"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6"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3.22</w:t>
            </w:r>
          </w:p>
        </w:tc>
        <w:tc>
          <w:tcPr>
            <w:tcW w:w="4215" w:type="dxa"/>
            <w:tcBorders>
              <w:top w:val="single" w:sz="6" w:space="0" w:color="auto"/>
              <w:left w:val="single" w:sz="6"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Soil has been Severely Contamination</w:t>
            </w:r>
          </w:p>
        </w:tc>
      </w:tr>
      <w:tr w:rsidR="004F2C54" w:rsidRPr="003B5AE7" w:rsidTr="004F2C54">
        <w:trPr>
          <w:trHeight w:val="144"/>
          <w:jc w:val="center"/>
        </w:trPr>
        <w:tc>
          <w:tcPr>
            <w:tcW w:w="975" w:type="dxa"/>
            <w:tcBorders>
              <w:top w:val="single" w:sz="6" w:space="0" w:color="auto"/>
              <w:left w:val="single" w:sz="12" w:space="0" w:color="auto"/>
              <w:bottom w:val="single" w:sz="12" w:space="0" w:color="auto"/>
              <w:right w:val="single" w:sz="6" w:space="0" w:color="auto"/>
            </w:tcBorders>
            <w:vAlign w:val="center"/>
            <w:hideMark/>
          </w:tcPr>
          <w:p w:rsidR="004F2C54" w:rsidRPr="003B5AE7" w:rsidRDefault="004F2C54" w:rsidP="004F2C54">
            <w:pPr>
              <w:jc w:val="center"/>
              <w:rPr>
                <w:rFonts w:ascii="Times New Roman" w:eastAsia="Calibri" w:hAnsi="Times New Roman" w:cs="Times New Roman"/>
                <w:sz w:val="22"/>
                <w:szCs w:val="22"/>
              </w:rPr>
            </w:pPr>
            <w:r w:rsidRPr="003B5AE7">
              <w:rPr>
                <w:rFonts w:ascii="Times New Roman" w:eastAsia="Calibri" w:hAnsi="Times New Roman" w:cs="Times New Roman"/>
                <w:sz w:val="22"/>
                <w:szCs w:val="22"/>
              </w:rPr>
              <w:t>S8</w:t>
            </w:r>
          </w:p>
        </w:tc>
        <w:tc>
          <w:tcPr>
            <w:tcW w:w="1080" w:type="dxa"/>
            <w:tcBorders>
              <w:top w:val="single" w:sz="6" w:space="0" w:color="auto"/>
              <w:left w:val="single" w:sz="4" w:space="0" w:color="auto"/>
              <w:bottom w:val="single" w:sz="12" w:space="0" w:color="auto"/>
              <w:right w:val="single" w:sz="4" w:space="0" w:color="auto"/>
            </w:tcBorders>
            <w:shd w:val="clear" w:color="auto" w:fill="FFFFFF" w:themeFill="background1"/>
            <w:vAlign w:val="center"/>
            <w:hideMark/>
          </w:tcPr>
          <w:p w:rsidR="004F2C54" w:rsidRPr="003B5AE7" w:rsidRDefault="004F2C54" w:rsidP="004F2C54">
            <w:pPr>
              <w:jc w:val="cente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139.63</w:t>
            </w:r>
          </w:p>
        </w:tc>
        <w:tc>
          <w:tcPr>
            <w:tcW w:w="1800" w:type="dxa"/>
            <w:tcBorders>
              <w:top w:val="single" w:sz="6" w:space="0" w:color="auto"/>
              <w:left w:val="single" w:sz="6" w:space="0" w:color="auto"/>
              <w:bottom w:val="single" w:sz="12"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FF0000"/>
                <w:sz w:val="22"/>
                <w:szCs w:val="22"/>
              </w:rPr>
              <w:t>High Risk</w:t>
            </w:r>
          </w:p>
        </w:tc>
        <w:tc>
          <w:tcPr>
            <w:tcW w:w="1170" w:type="dxa"/>
            <w:tcBorders>
              <w:top w:val="single" w:sz="6" w:space="0" w:color="auto"/>
              <w:left w:val="single" w:sz="4" w:space="0" w:color="auto"/>
              <w:bottom w:val="single" w:sz="12" w:space="0" w:color="auto"/>
              <w:right w:val="single" w:sz="4" w:space="0" w:color="auto"/>
            </w:tcBorders>
            <w:vAlign w:val="center"/>
            <w:hideMark/>
          </w:tcPr>
          <w:p w:rsidR="004F2C54" w:rsidRPr="003B5AE7" w:rsidRDefault="004F2C54" w:rsidP="004F2C54">
            <w:pPr>
              <w:jc w:val="cente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2.77</w:t>
            </w:r>
          </w:p>
        </w:tc>
        <w:tc>
          <w:tcPr>
            <w:tcW w:w="4215" w:type="dxa"/>
            <w:tcBorders>
              <w:top w:val="single" w:sz="6" w:space="0" w:color="auto"/>
              <w:left w:val="single" w:sz="6" w:space="0" w:color="auto"/>
              <w:bottom w:val="single" w:sz="12"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00B0F0"/>
                <w:sz w:val="22"/>
                <w:szCs w:val="22"/>
              </w:rPr>
            </w:pPr>
            <w:r w:rsidRPr="003B5AE7">
              <w:rPr>
                <w:rFonts w:ascii="Times New Roman" w:eastAsia="Calibri" w:hAnsi="Times New Roman" w:cs="Times New Roman"/>
                <w:color w:val="00B0F0"/>
                <w:sz w:val="22"/>
                <w:szCs w:val="22"/>
              </w:rPr>
              <w:t>Soil has been Moderately Contamination</w:t>
            </w:r>
          </w:p>
        </w:tc>
      </w:tr>
      <w:tr w:rsidR="004F2C54" w:rsidRPr="003B5AE7" w:rsidTr="004F2C54">
        <w:trPr>
          <w:trHeight w:val="144"/>
          <w:jc w:val="center"/>
        </w:trPr>
        <w:tc>
          <w:tcPr>
            <w:tcW w:w="9240" w:type="dxa"/>
            <w:gridSpan w:val="5"/>
            <w:tcBorders>
              <w:top w:val="single" w:sz="12" w:space="0" w:color="auto"/>
              <w:left w:val="single" w:sz="12" w:space="0" w:color="auto"/>
              <w:bottom w:val="single" w:sz="6"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color w:val="00B0F0"/>
                <w:sz w:val="22"/>
                <w:szCs w:val="22"/>
              </w:rPr>
              <w:t xml:space="preserve">*50 &lt; RI &lt;100 Moderate Risk, </w:t>
            </w:r>
            <w:r w:rsidRPr="003B5AE7">
              <w:rPr>
                <w:rFonts w:ascii="Times New Roman" w:eastAsia="Calibri" w:hAnsi="Times New Roman" w:cs="Times New Roman"/>
                <w:color w:val="FF0000"/>
                <w:sz w:val="22"/>
                <w:szCs w:val="22"/>
              </w:rPr>
              <w:t>*100 &lt; RI &lt; 150 High Risk</w:t>
            </w:r>
          </w:p>
        </w:tc>
      </w:tr>
      <w:tr w:rsidR="004F2C54" w:rsidRPr="003B5AE7" w:rsidTr="004F2C54">
        <w:trPr>
          <w:trHeight w:val="144"/>
          <w:jc w:val="center"/>
        </w:trPr>
        <w:tc>
          <w:tcPr>
            <w:tcW w:w="9240" w:type="dxa"/>
            <w:gridSpan w:val="5"/>
            <w:tcBorders>
              <w:top w:val="single" w:sz="6" w:space="0" w:color="auto"/>
              <w:left w:val="single" w:sz="12" w:space="0" w:color="auto"/>
              <w:bottom w:val="single" w:sz="12" w:space="0" w:color="auto"/>
              <w:right w:val="single" w:sz="12" w:space="0" w:color="auto"/>
            </w:tcBorders>
            <w:vAlign w:val="center"/>
            <w:hideMark/>
          </w:tcPr>
          <w:p w:rsidR="004F2C54" w:rsidRPr="003B5AE7" w:rsidRDefault="004F2C54" w:rsidP="004F2C54">
            <w:pPr>
              <w:rPr>
                <w:rFonts w:ascii="Times New Roman" w:eastAsia="Calibri" w:hAnsi="Times New Roman" w:cs="Times New Roman"/>
                <w:iCs/>
                <w:color w:val="00B0F0"/>
                <w:sz w:val="22"/>
                <w:szCs w:val="22"/>
              </w:rPr>
            </w:pPr>
            <w:r w:rsidRPr="003B5AE7">
              <w:rPr>
                <w:rFonts w:ascii="Times New Roman" w:eastAsia="Calibri" w:hAnsi="Times New Roman" w:cs="Times New Roman"/>
                <w:color w:val="00B0F0"/>
                <w:sz w:val="22"/>
                <w:szCs w:val="22"/>
              </w:rPr>
              <w:t xml:space="preserve">*2 &lt; </w:t>
            </w:r>
            <m:oMath>
              <m:sSub>
                <m:sSubPr>
                  <m:ctrlPr>
                    <w:rPr>
                      <w:rFonts w:ascii="Cambria Math" w:eastAsia="Calibri" w:hAnsi="Cambria Math" w:cs="Times New Roman"/>
                      <w:i/>
                      <w:iCs/>
                      <w:color w:val="00B0F0"/>
                      <w:sz w:val="22"/>
                      <w:szCs w:val="22"/>
                    </w:rPr>
                  </m:ctrlPr>
                </m:sSubPr>
                <m:e>
                  <m:r>
                    <w:rPr>
                      <w:rFonts w:ascii="Cambria Math" w:eastAsia="Calibri" w:hAnsi="Cambria Math" w:cs="Times New Roman"/>
                      <w:color w:val="00B0F0"/>
                      <w:sz w:val="22"/>
                      <w:szCs w:val="22"/>
                    </w:rPr>
                    <m:t>P</m:t>
                  </m:r>
                </m:e>
                <m:sub>
                  <m:r>
                    <w:rPr>
                      <w:rFonts w:ascii="Cambria Math" w:eastAsia="Calibri" w:hAnsi="Cambria Math" w:cs="Times New Roman"/>
                      <w:color w:val="00B0F0"/>
                      <w:sz w:val="22"/>
                      <w:szCs w:val="22"/>
                    </w:rPr>
                    <m:t>N</m:t>
                  </m:r>
                </m:sub>
              </m:sSub>
            </m:oMath>
            <w:r w:rsidRPr="003B5AE7">
              <w:rPr>
                <w:rFonts w:ascii="Times New Roman" w:eastAsia="Calibri" w:hAnsi="Times New Roman" w:cs="Times New Roman"/>
                <w:iCs/>
                <w:color w:val="00B0F0"/>
                <w:sz w:val="22"/>
                <w:szCs w:val="22"/>
              </w:rPr>
              <w:t xml:space="preserve"> &lt; 3 Soil has been Moderately Contamination</w:t>
            </w:r>
          </w:p>
          <w:p w:rsidR="004F2C54" w:rsidRPr="003B5AE7" w:rsidRDefault="004F2C54" w:rsidP="004F2C54">
            <w:pPr>
              <w:rPr>
                <w:rFonts w:ascii="Times New Roman" w:eastAsia="Calibri" w:hAnsi="Times New Roman" w:cs="Times New Roman"/>
                <w:color w:val="FF0000"/>
                <w:sz w:val="22"/>
                <w:szCs w:val="22"/>
              </w:rPr>
            </w:pPr>
            <w:r w:rsidRPr="003B5AE7">
              <w:rPr>
                <w:rFonts w:ascii="Times New Roman" w:eastAsia="Calibri" w:hAnsi="Times New Roman" w:cs="Times New Roman"/>
                <w:iCs/>
                <w:color w:val="FF0000"/>
                <w:sz w:val="22"/>
                <w:szCs w:val="22"/>
              </w:rPr>
              <w:t>*</w:t>
            </w:r>
            <m:oMath>
              <m:sSub>
                <m:sSubPr>
                  <m:ctrlPr>
                    <w:rPr>
                      <w:rFonts w:ascii="Cambria Math" w:eastAsia="Calibri" w:hAnsi="Cambria Math" w:cs="Times New Roman"/>
                      <w:i/>
                      <w:iCs/>
                      <w:color w:val="FF0000"/>
                      <w:sz w:val="22"/>
                      <w:szCs w:val="22"/>
                    </w:rPr>
                  </m:ctrlPr>
                </m:sSubPr>
                <m:e>
                  <m:r>
                    <w:rPr>
                      <w:rFonts w:ascii="Cambria Math" w:eastAsia="Calibri" w:hAnsi="Cambria Math" w:cs="Times New Roman"/>
                      <w:color w:val="FF0000"/>
                      <w:sz w:val="22"/>
                      <w:szCs w:val="22"/>
                    </w:rPr>
                    <m:t>P</m:t>
                  </m:r>
                </m:e>
                <m:sub>
                  <m:r>
                    <w:rPr>
                      <w:rFonts w:ascii="Cambria Math" w:eastAsia="Calibri" w:hAnsi="Cambria Math" w:cs="Times New Roman"/>
                      <w:color w:val="FF0000"/>
                      <w:sz w:val="22"/>
                      <w:szCs w:val="22"/>
                    </w:rPr>
                    <m:t>N</m:t>
                  </m:r>
                </m:sub>
              </m:sSub>
            </m:oMath>
            <w:r w:rsidRPr="003B5AE7">
              <w:rPr>
                <w:rFonts w:ascii="Times New Roman" w:eastAsia="Calibri" w:hAnsi="Times New Roman" w:cs="Times New Roman"/>
                <w:iCs/>
                <w:color w:val="FF0000"/>
                <w:sz w:val="22"/>
                <w:szCs w:val="22"/>
              </w:rPr>
              <w:t xml:space="preserve"> &gt; 3</w:t>
            </w:r>
            <w:r w:rsidRPr="003B5AE7">
              <w:rPr>
                <w:rFonts w:ascii="Times New Roman" w:hAnsi="Times New Roman" w:cs="Times New Roman"/>
                <w:color w:val="00B0F0"/>
                <w:sz w:val="22"/>
                <w:szCs w:val="22"/>
              </w:rPr>
              <w:t xml:space="preserve"> </w:t>
            </w:r>
            <w:r w:rsidRPr="003B5AE7">
              <w:rPr>
                <w:rFonts w:ascii="Times New Roman" w:hAnsi="Times New Roman" w:cs="Times New Roman"/>
                <w:iCs/>
                <w:color w:val="FF0000"/>
                <w:sz w:val="22"/>
                <w:szCs w:val="22"/>
              </w:rPr>
              <w:t>Soil has been Moderately Contamination</w:t>
            </w:r>
          </w:p>
        </w:tc>
      </w:tr>
    </w:tbl>
    <w:p w:rsidR="00E64A1F" w:rsidRDefault="00E64A1F" w:rsidP="005911ED">
      <w:pPr>
        <w:spacing w:line="240" w:lineRule="auto"/>
        <w:jc w:val="center"/>
        <w:rPr>
          <w:rFonts w:asciiTheme="majorBidi" w:hAnsiTheme="majorBidi" w:cstheme="majorBidi"/>
          <w:noProof/>
          <w:sz w:val="24"/>
          <w:szCs w:val="24"/>
        </w:rPr>
      </w:pPr>
    </w:p>
    <w:p w:rsidR="005911ED" w:rsidRPr="00C329A3" w:rsidRDefault="00A258F1" w:rsidP="005911ED">
      <w:pPr>
        <w:spacing w:line="240" w:lineRule="auto"/>
        <w:jc w:val="center"/>
        <w:rPr>
          <w:rFonts w:asciiTheme="majorBidi" w:hAnsiTheme="majorBidi" w:cstheme="majorBidi"/>
          <w:sz w:val="24"/>
          <w:szCs w:val="24"/>
        </w:rPr>
      </w:pPr>
      <w:r w:rsidRPr="00A258F1">
        <w:rPr>
          <w:rFonts w:asciiTheme="majorBidi" w:hAnsiTheme="majorBidi" w:cstheme="majorBidi"/>
          <w:noProof/>
          <w:sz w:val="24"/>
          <w:szCs w:val="24"/>
        </w:rPr>
        <w:drawing>
          <wp:inline distT="0" distB="0" distL="0" distR="0">
            <wp:extent cx="4537107" cy="3238500"/>
            <wp:effectExtent l="0" t="0" r="0" b="0"/>
            <wp:docPr id="25" name="Picture 25" descr="C:\Users\MUSTAFA\Desktop\kozal oglan\geology\MS\MAMaMA\Maps and Images\Soil Maps\final soil\Figure-Pn-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STAFA\Desktop\kozal oglan\geology\MS\MAMaMA\Maps and Images\Soil Maps\final soil\Figure-Pn-RI.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369" t="4877" r="4041" b="44606"/>
                    <a:stretch/>
                  </pic:blipFill>
                  <pic:spPr bwMode="auto">
                    <a:xfrm>
                      <a:off x="0" y="0"/>
                      <a:ext cx="4544614" cy="3243858"/>
                    </a:xfrm>
                    <a:prstGeom prst="rect">
                      <a:avLst/>
                    </a:prstGeom>
                    <a:noFill/>
                    <a:ln>
                      <a:noFill/>
                    </a:ln>
                    <a:extLst>
                      <a:ext uri="{53640926-AAD7-44D8-BBD7-CCE9431645EC}">
                        <a14:shadowObscured xmlns:a14="http://schemas.microsoft.com/office/drawing/2010/main"/>
                      </a:ext>
                    </a:extLst>
                  </pic:spPr>
                </pic:pic>
              </a:graphicData>
            </a:graphic>
          </wp:inline>
        </w:drawing>
      </w:r>
    </w:p>
    <w:p w:rsidR="00EE3428" w:rsidRDefault="005911ED" w:rsidP="005340D6">
      <w:pPr>
        <w:spacing w:line="240" w:lineRule="auto"/>
        <w:rPr>
          <w:rFonts w:asciiTheme="majorBidi" w:hAnsiTheme="majorBidi" w:cstheme="majorBidi"/>
          <w:iCs/>
          <w:sz w:val="22"/>
          <w:szCs w:val="22"/>
        </w:rPr>
      </w:pPr>
      <w:r w:rsidRPr="001C0139">
        <w:rPr>
          <w:rFonts w:asciiTheme="majorBidi" w:hAnsiTheme="majorBidi" w:cstheme="majorBidi"/>
          <w:b/>
          <w:bCs/>
          <w:sz w:val="22"/>
          <w:szCs w:val="22"/>
        </w:rPr>
        <w:t xml:space="preserve">         </w:t>
      </w:r>
      <w:r w:rsidR="00B641F0">
        <w:rPr>
          <w:rFonts w:asciiTheme="majorBidi" w:hAnsiTheme="majorBidi" w:cstheme="majorBidi"/>
          <w:b/>
          <w:bCs/>
          <w:sz w:val="22"/>
          <w:szCs w:val="22"/>
        </w:rPr>
        <w:t xml:space="preserve">             </w:t>
      </w:r>
      <w:r w:rsidRPr="001C0139">
        <w:rPr>
          <w:rFonts w:asciiTheme="majorBidi" w:hAnsiTheme="majorBidi" w:cstheme="majorBidi"/>
          <w:b/>
          <w:bCs/>
          <w:sz w:val="22"/>
          <w:szCs w:val="22"/>
        </w:rPr>
        <w:t xml:space="preserve">Figure </w:t>
      </w:r>
      <w:r w:rsidR="002145CF">
        <w:rPr>
          <w:rFonts w:asciiTheme="majorBidi" w:hAnsiTheme="majorBidi" w:cstheme="majorBidi"/>
          <w:b/>
          <w:bCs/>
          <w:sz w:val="22"/>
          <w:szCs w:val="22"/>
        </w:rPr>
        <w:t xml:space="preserve">3 </w:t>
      </w:r>
      <w:r w:rsidRPr="001C0139">
        <w:rPr>
          <w:rFonts w:asciiTheme="majorBidi" w:hAnsiTheme="majorBidi" w:cstheme="majorBidi"/>
          <w:sz w:val="22"/>
          <w:szCs w:val="22"/>
        </w:rPr>
        <w:t xml:space="preserve">Spatial Distribution of RI, and </w:t>
      </w:r>
      <m:oMath>
        <m:sSub>
          <m:sSubPr>
            <m:ctrlPr>
              <w:rPr>
                <w:rFonts w:ascii="Cambria Math" w:hAnsi="Cambria Math" w:cstheme="majorBidi"/>
                <w:i/>
                <w:iCs/>
                <w:sz w:val="22"/>
                <w:szCs w:val="22"/>
              </w:rPr>
            </m:ctrlPr>
          </m:sSubPr>
          <m:e>
            <m:r>
              <w:rPr>
                <w:rFonts w:ascii="Cambria Math" w:hAnsi="Cambria Math" w:cstheme="majorBidi"/>
                <w:sz w:val="22"/>
                <w:szCs w:val="22"/>
              </w:rPr>
              <m:t>P</m:t>
            </m:r>
          </m:e>
          <m:sub>
            <m:r>
              <w:rPr>
                <w:rFonts w:ascii="Cambria Math" w:hAnsi="Cambria Math" w:cstheme="majorBidi"/>
                <w:sz w:val="22"/>
                <w:szCs w:val="22"/>
              </w:rPr>
              <m:t>N</m:t>
            </m:r>
          </m:sub>
        </m:sSub>
      </m:oMath>
      <w:r w:rsidRPr="001C0139">
        <w:rPr>
          <w:rFonts w:asciiTheme="majorBidi" w:hAnsiTheme="majorBidi" w:cstheme="majorBidi"/>
          <w:iCs/>
          <w:sz w:val="22"/>
          <w:szCs w:val="22"/>
        </w:rPr>
        <w:t xml:space="preserve"> in Soil o</w:t>
      </w:r>
      <w:r>
        <w:rPr>
          <w:rFonts w:asciiTheme="majorBidi" w:hAnsiTheme="majorBidi" w:cstheme="majorBidi"/>
          <w:iCs/>
          <w:sz w:val="22"/>
          <w:szCs w:val="22"/>
        </w:rPr>
        <w:t>f Study Area.</w:t>
      </w:r>
    </w:p>
    <w:p w:rsidR="006F000E" w:rsidRDefault="006F000E" w:rsidP="005340D6">
      <w:pPr>
        <w:spacing w:line="240" w:lineRule="auto"/>
        <w:rPr>
          <w:rFonts w:asciiTheme="majorBidi" w:hAnsiTheme="majorBidi" w:cstheme="majorBidi"/>
          <w:iCs/>
          <w:sz w:val="22"/>
          <w:szCs w:val="22"/>
        </w:rPr>
      </w:pPr>
    </w:p>
    <w:p w:rsidR="00896A26" w:rsidRPr="00C329A3" w:rsidRDefault="00896A26" w:rsidP="00C329A3">
      <w:pPr>
        <w:spacing w:line="240" w:lineRule="auto"/>
        <w:jc w:val="both"/>
        <w:rPr>
          <w:rFonts w:asciiTheme="majorBidi" w:hAnsiTheme="majorBidi" w:cstheme="majorBidi"/>
          <w:b/>
          <w:bCs/>
          <w:i/>
          <w:iCs/>
          <w:sz w:val="24"/>
          <w:szCs w:val="24"/>
        </w:rPr>
      </w:pPr>
      <w:r w:rsidRPr="00C329A3">
        <w:rPr>
          <w:rFonts w:asciiTheme="majorBidi" w:hAnsiTheme="majorBidi" w:cstheme="majorBidi"/>
          <w:b/>
          <w:bCs/>
          <w:i/>
          <w:iCs/>
          <w:sz w:val="24"/>
          <w:szCs w:val="24"/>
        </w:rPr>
        <w:t>4.</w:t>
      </w:r>
      <w:r w:rsidR="00232002" w:rsidRPr="00C329A3">
        <w:rPr>
          <w:rFonts w:asciiTheme="majorBidi" w:hAnsiTheme="majorBidi" w:cstheme="majorBidi"/>
          <w:b/>
          <w:bCs/>
          <w:i/>
          <w:iCs/>
          <w:sz w:val="24"/>
          <w:szCs w:val="24"/>
        </w:rPr>
        <w:t>10</w:t>
      </w:r>
      <w:r w:rsidRPr="00C329A3">
        <w:rPr>
          <w:rFonts w:asciiTheme="majorBidi" w:hAnsiTheme="majorBidi" w:cstheme="majorBidi"/>
          <w:b/>
          <w:bCs/>
          <w:i/>
          <w:iCs/>
          <w:sz w:val="24"/>
          <w:szCs w:val="24"/>
        </w:rPr>
        <w:t xml:space="preserve"> Non-carcinogenic Risk Assessment of heavy metals for Adults and children:</w:t>
      </w:r>
    </w:p>
    <w:p w:rsidR="001E4201" w:rsidRDefault="001E4201" w:rsidP="001E4201">
      <w:pPr>
        <w:spacing w:line="240" w:lineRule="auto"/>
        <w:jc w:val="both"/>
        <w:rPr>
          <w:rFonts w:asciiTheme="majorBidi" w:hAnsiTheme="majorBidi" w:cstheme="majorBidi"/>
          <w:sz w:val="24"/>
          <w:szCs w:val="24"/>
        </w:rPr>
      </w:pPr>
      <w:r w:rsidRPr="001E4201">
        <w:rPr>
          <w:rFonts w:asciiTheme="majorBidi" w:hAnsiTheme="majorBidi" w:cstheme="majorBidi"/>
          <w:sz w:val="24"/>
          <w:szCs w:val="24"/>
        </w:rPr>
        <w:t xml:space="preserve">     The Total Hazard Quotient (</w:t>
      </w:r>
      <w:r w:rsidRPr="006048B5">
        <w:rPr>
          <w:rFonts w:asciiTheme="majorBidi" w:hAnsiTheme="majorBidi" w:cstheme="majorBidi"/>
          <w:i/>
          <w:iCs/>
          <w:sz w:val="24"/>
          <w:szCs w:val="24"/>
        </w:rPr>
        <w:t>HQ</w:t>
      </w:r>
      <w:r w:rsidRPr="001E4201">
        <w:rPr>
          <w:rFonts w:asciiTheme="majorBidi" w:hAnsiTheme="majorBidi" w:cstheme="majorBidi"/>
          <w:sz w:val="24"/>
          <w:szCs w:val="24"/>
        </w:rPr>
        <w:t>) results of heavy metals present in (</w:t>
      </w:r>
      <w:r w:rsidR="006F000E">
        <w:rPr>
          <w:rFonts w:asciiTheme="majorBidi" w:hAnsiTheme="majorBidi" w:cstheme="majorBidi"/>
          <w:sz w:val="24"/>
          <w:szCs w:val="24"/>
        </w:rPr>
        <w:t xml:space="preserve">Table </w:t>
      </w:r>
      <w:r w:rsidR="00137D81">
        <w:rPr>
          <w:rFonts w:asciiTheme="majorBidi" w:hAnsiTheme="majorBidi" w:cstheme="majorBidi"/>
          <w:sz w:val="24"/>
          <w:szCs w:val="24"/>
        </w:rPr>
        <w:t>10</w:t>
      </w:r>
      <w:r w:rsidRPr="001E4201">
        <w:rPr>
          <w:rFonts w:asciiTheme="majorBidi" w:hAnsiTheme="majorBidi" w:cstheme="majorBidi"/>
          <w:sz w:val="24"/>
          <w:szCs w:val="24"/>
        </w:rPr>
        <w:t>). The non-carcinogenic risk was assessed according to calculated values of Hazard Index (</w:t>
      </w:r>
      <w:r w:rsidRPr="006048B5">
        <w:rPr>
          <w:rFonts w:asciiTheme="majorBidi" w:hAnsiTheme="majorBidi" w:cstheme="majorBidi"/>
          <w:i/>
          <w:iCs/>
          <w:sz w:val="24"/>
          <w:szCs w:val="24"/>
        </w:rPr>
        <w:t>HI</w:t>
      </w:r>
      <w:r w:rsidRPr="001E4201">
        <w:rPr>
          <w:rFonts w:asciiTheme="majorBidi" w:hAnsiTheme="majorBidi" w:cstheme="majorBidi"/>
          <w:sz w:val="24"/>
          <w:szCs w:val="24"/>
        </w:rPr>
        <w:t xml:space="preserve">) of soil samples for adults and children through different pathways. The results of </w:t>
      </w:r>
      <w:r w:rsidRPr="006048B5">
        <w:rPr>
          <w:rFonts w:asciiTheme="majorBidi" w:hAnsiTheme="majorBidi" w:cstheme="majorBidi"/>
          <w:i/>
          <w:iCs/>
          <w:sz w:val="24"/>
          <w:szCs w:val="24"/>
        </w:rPr>
        <w:t>HI</w:t>
      </w:r>
      <w:r w:rsidRPr="001E4201">
        <w:rPr>
          <w:rFonts w:asciiTheme="majorBidi" w:hAnsiTheme="majorBidi" w:cstheme="majorBidi"/>
          <w:sz w:val="24"/>
          <w:szCs w:val="24"/>
        </w:rPr>
        <w:t xml:space="preserve"> listed in (</w:t>
      </w:r>
      <w:r w:rsidR="006F000E">
        <w:rPr>
          <w:rFonts w:asciiTheme="majorBidi" w:hAnsiTheme="majorBidi" w:cstheme="majorBidi"/>
          <w:sz w:val="24"/>
          <w:szCs w:val="24"/>
        </w:rPr>
        <w:t xml:space="preserve">Table </w:t>
      </w:r>
      <w:r w:rsidR="00137D81">
        <w:rPr>
          <w:rFonts w:asciiTheme="majorBidi" w:hAnsiTheme="majorBidi" w:cstheme="majorBidi"/>
          <w:sz w:val="24"/>
          <w:szCs w:val="24"/>
        </w:rPr>
        <w:t>1</w:t>
      </w:r>
      <w:r w:rsidR="005C149C">
        <w:rPr>
          <w:rFonts w:asciiTheme="majorBidi" w:hAnsiTheme="majorBidi" w:cstheme="majorBidi"/>
          <w:sz w:val="24"/>
          <w:szCs w:val="24"/>
        </w:rPr>
        <w:t>1</w:t>
      </w:r>
      <w:r w:rsidRPr="001E4201">
        <w:rPr>
          <w:rFonts w:asciiTheme="majorBidi" w:hAnsiTheme="majorBidi" w:cstheme="majorBidi"/>
          <w:sz w:val="24"/>
          <w:szCs w:val="24"/>
        </w:rPr>
        <w:t xml:space="preserve">), and spatial distribution of </w:t>
      </w:r>
      <w:r w:rsidRPr="006048B5">
        <w:rPr>
          <w:rFonts w:asciiTheme="majorBidi" w:hAnsiTheme="majorBidi" w:cstheme="majorBidi"/>
          <w:i/>
          <w:iCs/>
          <w:sz w:val="24"/>
          <w:szCs w:val="24"/>
        </w:rPr>
        <w:t>HI</w:t>
      </w:r>
      <w:r w:rsidRPr="001E4201">
        <w:rPr>
          <w:rFonts w:asciiTheme="majorBidi" w:hAnsiTheme="majorBidi" w:cstheme="majorBidi"/>
          <w:sz w:val="24"/>
          <w:szCs w:val="24"/>
        </w:rPr>
        <w:t xml:space="preserve"> for adults and children shown in (Figure </w:t>
      </w:r>
      <w:r w:rsidR="00137D81">
        <w:rPr>
          <w:rFonts w:asciiTheme="majorBidi" w:hAnsiTheme="majorBidi" w:cstheme="majorBidi"/>
          <w:sz w:val="24"/>
          <w:szCs w:val="24"/>
        </w:rPr>
        <w:t>4</w:t>
      </w:r>
      <w:r w:rsidRPr="001E4201">
        <w:rPr>
          <w:rFonts w:asciiTheme="majorBidi" w:hAnsiTheme="majorBidi" w:cstheme="majorBidi"/>
          <w:sz w:val="24"/>
          <w:szCs w:val="24"/>
        </w:rPr>
        <w:t xml:space="preserve">). The </w:t>
      </w:r>
      <w:r w:rsidRPr="006048B5">
        <w:rPr>
          <w:rFonts w:asciiTheme="majorBidi" w:hAnsiTheme="majorBidi" w:cstheme="majorBidi"/>
          <w:i/>
          <w:iCs/>
          <w:sz w:val="24"/>
          <w:szCs w:val="24"/>
        </w:rPr>
        <w:t>HI</w:t>
      </w:r>
      <w:r w:rsidRPr="001E4201">
        <w:rPr>
          <w:rFonts w:asciiTheme="majorBidi" w:hAnsiTheme="majorBidi" w:cstheme="majorBidi"/>
          <w:sz w:val="24"/>
          <w:szCs w:val="24"/>
        </w:rPr>
        <w:t xml:space="preserve"> values for adults at all sites were observed lower than one (</w:t>
      </w:r>
      <w:r w:rsidRPr="006048B5">
        <w:rPr>
          <w:rFonts w:asciiTheme="majorBidi" w:hAnsiTheme="majorBidi" w:cstheme="majorBidi"/>
          <w:i/>
          <w:iCs/>
          <w:sz w:val="24"/>
          <w:szCs w:val="24"/>
        </w:rPr>
        <w:t>HI</w:t>
      </w:r>
      <w:r w:rsidRPr="001E4201">
        <w:rPr>
          <w:rFonts w:asciiTheme="majorBidi" w:hAnsiTheme="majorBidi" w:cstheme="majorBidi"/>
          <w:sz w:val="24"/>
          <w:szCs w:val="24"/>
        </w:rPr>
        <w:t xml:space="preserve">&lt; 1), this </w:t>
      </w:r>
      <w:r w:rsidRPr="007620A6">
        <w:rPr>
          <w:rFonts w:asciiTheme="majorBidi" w:hAnsiTheme="majorBidi" w:cstheme="majorBidi"/>
          <w:noProof/>
          <w:sz w:val="24"/>
          <w:szCs w:val="24"/>
        </w:rPr>
        <w:t>mean</w:t>
      </w:r>
      <w:r w:rsidR="007620A6">
        <w:rPr>
          <w:rFonts w:asciiTheme="majorBidi" w:hAnsiTheme="majorBidi" w:cstheme="majorBidi"/>
          <w:noProof/>
          <w:sz w:val="24"/>
          <w:szCs w:val="24"/>
        </w:rPr>
        <w:t>s</w:t>
      </w:r>
      <w:r w:rsidRPr="001E4201">
        <w:rPr>
          <w:rFonts w:asciiTheme="majorBidi" w:hAnsiTheme="majorBidi" w:cstheme="majorBidi"/>
          <w:sz w:val="24"/>
          <w:szCs w:val="24"/>
        </w:rPr>
        <w:t xml:space="preserve"> there is no non-carcinogenic risk for adults, and the </w:t>
      </w:r>
      <w:r w:rsidRPr="00B93AC5">
        <w:rPr>
          <w:rFonts w:asciiTheme="majorBidi" w:hAnsiTheme="majorBidi" w:cstheme="majorBidi"/>
          <w:noProof/>
          <w:sz w:val="24"/>
          <w:szCs w:val="24"/>
        </w:rPr>
        <w:t>adults</w:t>
      </w:r>
      <w:r w:rsidRPr="001E4201">
        <w:rPr>
          <w:rFonts w:asciiTheme="majorBidi" w:hAnsiTheme="majorBidi" w:cstheme="majorBidi"/>
          <w:sz w:val="24"/>
          <w:szCs w:val="24"/>
        </w:rPr>
        <w:t xml:space="preserve"> population were unlikely to experience adverse effects. Whereas the </w:t>
      </w:r>
      <w:r w:rsidRPr="006048B5">
        <w:rPr>
          <w:rFonts w:asciiTheme="majorBidi" w:hAnsiTheme="majorBidi" w:cstheme="majorBidi"/>
          <w:i/>
          <w:iCs/>
          <w:sz w:val="24"/>
          <w:szCs w:val="24"/>
        </w:rPr>
        <w:t xml:space="preserve">HI </w:t>
      </w:r>
      <w:r w:rsidRPr="001E4201">
        <w:rPr>
          <w:rFonts w:asciiTheme="majorBidi" w:hAnsiTheme="majorBidi" w:cstheme="majorBidi"/>
          <w:sz w:val="24"/>
          <w:szCs w:val="24"/>
        </w:rPr>
        <w:t>values for children higher than one (</w:t>
      </w:r>
      <w:r w:rsidRPr="006048B5">
        <w:rPr>
          <w:rFonts w:asciiTheme="majorBidi" w:hAnsiTheme="majorBidi" w:cstheme="majorBidi"/>
          <w:i/>
          <w:iCs/>
          <w:sz w:val="24"/>
          <w:szCs w:val="24"/>
        </w:rPr>
        <w:t>HI</w:t>
      </w:r>
      <w:r w:rsidRPr="001E4201">
        <w:rPr>
          <w:rFonts w:asciiTheme="majorBidi" w:hAnsiTheme="majorBidi" w:cstheme="majorBidi"/>
          <w:sz w:val="24"/>
          <w:szCs w:val="24"/>
        </w:rPr>
        <w:t>&gt; 1) at all sampling sites, this mean the children that reside in the study area were at risk of non-carcinogenic effects of heavy metals.</w:t>
      </w:r>
    </w:p>
    <w:p w:rsidR="00857E23" w:rsidRDefault="00857E23" w:rsidP="001E4201">
      <w:pPr>
        <w:spacing w:line="240" w:lineRule="auto"/>
        <w:jc w:val="both"/>
        <w:rPr>
          <w:rFonts w:asciiTheme="majorBidi" w:hAnsiTheme="majorBidi" w:cstheme="majorBidi"/>
          <w:sz w:val="24"/>
          <w:szCs w:val="24"/>
        </w:rPr>
      </w:pPr>
    </w:p>
    <w:p w:rsidR="00857E23" w:rsidRDefault="00857E23" w:rsidP="001E4201">
      <w:pPr>
        <w:spacing w:line="240" w:lineRule="auto"/>
        <w:jc w:val="both"/>
        <w:rPr>
          <w:rFonts w:asciiTheme="majorBidi" w:hAnsiTheme="majorBidi" w:cstheme="majorBidi"/>
          <w:sz w:val="24"/>
          <w:szCs w:val="24"/>
        </w:rPr>
      </w:pPr>
    </w:p>
    <w:p w:rsidR="006570EE" w:rsidRPr="00C329A3" w:rsidRDefault="006570EE" w:rsidP="006570EE">
      <w:pPr>
        <w:spacing w:line="240" w:lineRule="auto"/>
        <w:rPr>
          <w:rFonts w:asciiTheme="majorBidi" w:hAnsiTheme="majorBidi" w:cstheme="majorBidi"/>
          <w:b/>
          <w:bCs/>
          <w:i/>
          <w:iCs/>
          <w:sz w:val="24"/>
          <w:szCs w:val="24"/>
        </w:rPr>
      </w:pPr>
      <w:r w:rsidRPr="00C329A3">
        <w:rPr>
          <w:rFonts w:asciiTheme="majorBidi" w:hAnsiTheme="majorBidi" w:cstheme="majorBidi"/>
          <w:b/>
          <w:bCs/>
          <w:i/>
          <w:iCs/>
          <w:sz w:val="24"/>
          <w:szCs w:val="24"/>
        </w:rPr>
        <w:t>4.11 Carcinogenic Risk Assessment of Heavy Metals for Adults and Children:</w:t>
      </w:r>
    </w:p>
    <w:p w:rsidR="006570EE" w:rsidRDefault="006570EE" w:rsidP="00EB7B8F">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          The cancer risk for heavy metals </w:t>
      </w:r>
      <w:r w:rsidR="008025F4" w:rsidRPr="008025F4">
        <w:rPr>
          <w:rFonts w:asciiTheme="majorBidi" w:hAnsiTheme="majorBidi" w:cstheme="majorBidi"/>
          <w:sz w:val="24"/>
          <w:szCs w:val="24"/>
        </w:rPr>
        <w:t xml:space="preserve">As, Pb, Cd, Cr, Co, and Ni </w:t>
      </w:r>
      <w:r w:rsidRPr="00C329A3">
        <w:rPr>
          <w:rFonts w:asciiTheme="majorBidi" w:hAnsiTheme="majorBidi" w:cstheme="majorBidi"/>
          <w:sz w:val="24"/>
          <w:szCs w:val="24"/>
        </w:rPr>
        <w:t xml:space="preserve">were calculated, these metals are most contributors to the cancer risk, the results were shown in (Table </w:t>
      </w:r>
      <w:r w:rsidR="005C149C">
        <w:rPr>
          <w:rFonts w:asciiTheme="majorBidi" w:hAnsiTheme="majorBidi" w:cstheme="majorBidi"/>
          <w:sz w:val="24"/>
          <w:szCs w:val="24"/>
        </w:rPr>
        <w:t>11</w:t>
      </w:r>
      <w:r w:rsidRPr="00C329A3">
        <w:rPr>
          <w:rFonts w:asciiTheme="majorBidi" w:hAnsiTheme="majorBidi" w:cstheme="majorBidi"/>
          <w:sz w:val="24"/>
          <w:szCs w:val="24"/>
        </w:rPr>
        <w:t xml:space="preserve">). The </w:t>
      </w:r>
      <w:r w:rsidR="008025F4">
        <w:rPr>
          <w:rFonts w:asciiTheme="majorBidi" w:hAnsiTheme="majorBidi" w:cstheme="majorBidi"/>
          <w:sz w:val="24"/>
          <w:szCs w:val="24"/>
        </w:rPr>
        <w:t xml:space="preserve">total </w:t>
      </w:r>
      <w:r w:rsidRPr="00C329A3">
        <w:rPr>
          <w:rFonts w:asciiTheme="majorBidi" w:hAnsiTheme="majorBidi" w:cstheme="majorBidi"/>
          <w:sz w:val="24"/>
          <w:szCs w:val="24"/>
        </w:rPr>
        <w:t>cancer risk values of As and Cr for adults and children were in acceptable risk range at all sampling sites, while the</w:t>
      </w:r>
      <w:r w:rsidR="008025F4">
        <w:rPr>
          <w:rFonts w:asciiTheme="majorBidi" w:hAnsiTheme="majorBidi" w:cstheme="majorBidi"/>
          <w:sz w:val="24"/>
          <w:szCs w:val="24"/>
        </w:rPr>
        <w:t xml:space="preserve"> total cancer risk of</w:t>
      </w:r>
      <w:r w:rsidRPr="00C329A3">
        <w:rPr>
          <w:rFonts w:asciiTheme="majorBidi" w:hAnsiTheme="majorBidi" w:cstheme="majorBidi"/>
          <w:sz w:val="24"/>
          <w:szCs w:val="24"/>
        </w:rPr>
        <w:t xml:space="preserve"> Pb</w:t>
      </w:r>
      <w:r w:rsidR="008025F4">
        <w:rPr>
          <w:rFonts w:asciiTheme="majorBidi" w:hAnsiTheme="majorBidi" w:cstheme="majorBidi"/>
          <w:sz w:val="24"/>
          <w:szCs w:val="24"/>
        </w:rPr>
        <w:t>, Cd, Co, and Ni</w:t>
      </w:r>
      <w:r w:rsidRPr="00C329A3">
        <w:rPr>
          <w:rFonts w:asciiTheme="majorBidi" w:hAnsiTheme="majorBidi" w:cstheme="majorBidi"/>
          <w:sz w:val="24"/>
          <w:szCs w:val="24"/>
        </w:rPr>
        <w:t xml:space="preserve"> was </w:t>
      </w:r>
      <w:r w:rsidR="008025F4">
        <w:rPr>
          <w:rFonts w:asciiTheme="majorBidi" w:hAnsiTheme="majorBidi" w:cstheme="majorBidi"/>
          <w:sz w:val="24"/>
          <w:szCs w:val="24"/>
        </w:rPr>
        <w:t>lower than</w:t>
      </w:r>
      <w:r w:rsidRPr="00C329A3">
        <w:rPr>
          <w:rFonts w:asciiTheme="majorBidi" w:hAnsiTheme="majorBidi" w:cstheme="majorBidi"/>
          <w:sz w:val="24"/>
          <w:szCs w:val="24"/>
        </w:rPr>
        <w:t xml:space="preserve"> tolerable risk range at all sites. These values mean there </w:t>
      </w:r>
      <w:r w:rsidR="000E0F12">
        <w:rPr>
          <w:rFonts w:asciiTheme="majorBidi" w:hAnsiTheme="majorBidi" w:cstheme="majorBidi"/>
          <w:noProof/>
          <w:sz w:val="24"/>
          <w:szCs w:val="24"/>
        </w:rPr>
        <w:t>is</w:t>
      </w:r>
      <w:r w:rsidRPr="00C329A3">
        <w:rPr>
          <w:rFonts w:asciiTheme="majorBidi" w:hAnsiTheme="majorBidi" w:cstheme="majorBidi"/>
          <w:sz w:val="24"/>
          <w:szCs w:val="24"/>
        </w:rPr>
        <w:t xml:space="preserve"> no cancer risk for adults and children, which th</w:t>
      </w:r>
      <w:r>
        <w:rPr>
          <w:rFonts w:asciiTheme="majorBidi" w:hAnsiTheme="majorBidi" w:cstheme="majorBidi"/>
          <w:sz w:val="24"/>
          <w:szCs w:val="24"/>
        </w:rPr>
        <w:t xml:space="preserve">ey residing in the study area. </w:t>
      </w:r>
    </w:p>
    <w:p w:rsidR="006E114B" w:rsidRPr="00E2576E" w:rsidRDefault="001528C0" w:rsidP="00E2576E">
      <w:pPr>
        <w:spacing w:line="240" w:lineRule="auto"/>
        <w:rPr>
          <w:rFonts w:asciiTheme="majorBidi" w:hAnsiTheme="majorBidi" w:cstheme="majorBidi"/>
          <w:sz w:val="22"/>
          <w:szCs w:val="22"/>
        </w:rPr>
      </w:pPr>
      <w:r>
        <w:rPr>
          <w:rFonts w:asciiTheme="majorBidi" w:hAnsiTheme="majorBidi" w:cstheme="majorBidi"/>
          <w:b/>
          <w:bCs/>
          <w:sz w:val="22"/>
          <w:szCs w:val="22"/>
        </w:rPr>
        <w:t xml:space="preserve">        </w:t>
      </w:r>
      <w:r w:rsidR="009E28DA" w:rsidRPr="00AD4BF3">
        <w:rPr>
          <w:rFonts w:asciiTheme="majorBidi" w:hAnsiTheme="majorBidi" w:cstheme="majorBidi"/>
          <w:b/>
          <w:bCs/>
          <w:sz w:val="22"/>
          <w:szCs w:val="22"/>
        </w:rPr>
        <w:t xml:space="preserve">Table </w:t>
      </w:r>
      <w:r w:rsidR="002145CF">
        <w:rPr>
          <w:rFonts w:asciiTheme="majorBidi" w:hAnsiTheme="majorBidi" w:cstheme="majorBidi"/>
          <w:b/>
          <w:bCs/>
          <w:sz w:val="22"/>
          <w:szCs w:val="22"/>
        </w:rPr>
        <w:t>10</w:t>
      </w:r>
      <w:r w:rsidR="009E28DA" w:rsidRPr="00AD4BF3">
        <w:rPr>
          <w:rFonts w:asciiTheme="majorBidi" w:hAnsiTheme="majorBidi" w:cstheme="majorBidi"/>
          <w:b/>
          <w:bCs/>
          <w:sz w:val="22"/>
          <w:szCs w:val="22"/>
        </w:rPr>
        <w:t xml:space="preserve"> </w:t>
      </w:r>
      <w:r w:rsidR="00385BAF" w:rsidRPr="00385BAF">
        <w:rPr>
          <w:rFonts w:asciiTheme="majorBidi" w:hAnsiTheme="majorBidi" w:cstheme="majorBidi"/>
          <w:sz w:val="22"/>
          <w:szCs w:val="22"/>
        </w:rPr>
        <w:t>Total</w:t>
      </w:r>
      <w:r w:rsidR="00385BAF">
        <w:rPr>
          <w:rFonts w:asciiTheme="majorBidi" w:hAnsiTheme="majorBidi" w:cstheme="majorBidi"/>
          <w:b/>
          <w:bCs/>
          <w:sz w:val="22"/>
          <w:szCs w:val="22"/>
        </w:rPr>
        <w:t xml:space="preserve"> </w:t>
      </w:r>
      <w:r w:rsidR="009E28DA" w:rsidRPr="00AD4BF3">
        <w:rPr>
          <w:rFonts w:asciiTheme="majorBidi" w:hAnsiTheme="majorBidi" w:cstheme="majorBidi"/>
          <w:sz w:val="22"/>
          <w:szCs w:val="22"/>
        </w:rPr>
        <w:t xml:space="preserve">Hazard Quotient of Heavy Metals </w:t>
      </w:r>
      <w:r w:rsidR="00E2576E">
        <w:rPr>
          <w:rFonts w:asciiTheme="majorBidi" w:hAnsiTheme="majorBidi" w:cstheme="majorBidi"/>
          <w:sz w:val="22"/>
          <w:szCs w:val="22"/>
        </w:rPr>
        <w:t xml:space="preserve">for Adults and Children in </w:t>
      </w:r>
      <w:r w:rsidR="00E2576E" w:rsidRPr="007C62B9">
        <w:rPr>
          <w:rFonts w:asciiTheme="majorBidi" w:hAnsiTheme="majorBidi" w:cstheme="majorBidi"/>
          <w:noProof/>
          <w:sz w:val="22"/>
          <w:szCs w:val="22"/>
        </w:rPr>
        <w:t>Soil</w:t>
      </w:r>
      <w:r w:rsidR="006F5373" w:rsidRPr="007C62B9">
        <w:rPr>
          <w:rFonts w:asciiTheme="majorBidi" w:hAnsiTheme="majorBidi" w:cstheme="majorBidi"/>
          <w:noProof/>
          <w:sz w:val="22"/>
          <w:szCs w:val="22"/>
        </w:rPr>
        <w:t xml:space="preserve"> of</w:t>
      </w:r>
      <w:r w:rsidR="006F5373">
        <w:rPr>
          <w:rFonts w:asciiTheme="majorBidi" w:hAnsiTheme="majorBidi" w:cstheme="majorBidi"/>
          <w:sz w:val="22"/>
          <w:szCs w:val="22"/>
        </w:rPr>
        <w:t xml:space="preserve"> Study Area</w:t>
      </w:r>
      <w:r w:rsidR="00DC1C59">
        <w:rPr>
          <w:rFonts w:asciiTheme="majorBidi" w:hAnsiTheme="majorBidi" w:cstheme="majorBidi"/>
          <w:sz w:val="22"/>
          <w:szCs w:val="22"/>
        </w:rPr>
        <w:t>.</w:t>
      </w:r>
    </w:p>
    <w:tbl>
      <w:tblPr>
        <w:tblStyle w:val="TableGrid"/>
        <w:tblW w:w="83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5"/>
        <w:gridCol w:w="900"/>
        <w:gridCol w:w="900"/>
        <w:gridCol w:w="900"/>
        <w:gridCol w:w="855"/>
        <w:gridCol w:w="810"/>
        <w:gridCol w:w="855"/>
        <w:gridCol w:w="900"/>
        <w:gridCol w:w="900"/>
        <w:gridCol w:w="855"/>
      </w:tblGrid>
      <w:tr w:rsidR="00E2576E" w:rsidRPr="00E2576E" w:rsidTr="000E4C9C">
        <w:trPr>
          <w:trHeight w:val="144"/>
          <w:jc w:val="center"/>
        </w:trPr>
        <w:tc>
          <w:tcPr>
            <w:tcW w:w="435" w:type="dxa"/>
            <w:vMerge w:val="restart"/>
            <w:tcBorders>
              <w:top w:val="single" w:sz="12" w:space="0" w:color="auto"/>
              <w:left w:val="single" w:sz="12" w:space="0" w:color="auto"/>
              <w:right w:val="single" w:sz="12" w:space="0" w:color="auto"/>
            </w:tcBorders>
            <w:shd w:val="clear" w:color="auto" w:fill="C00000"/>
          </w:tcPr>
          <w:p w:rsidR="00E2576E" w:rsidRPr="00E2576E" w:rsidRDefault="00E2576E" w:rsidP="00C31EEC">
            <w:pPr>
              <w:jc w:val="center"/>
              <w:rPr>
                <w:rFonts w:asciiTheme="majorBidi" w:hAnsiTheme="majorBidi" w:cstheme="majorBidi"/>
                <w:sz w:val="22"/>
                <w:szCs w:val="22"/>
              </w:rPr>
            </w:pPr>
          </w:p>
        </w:tc>
        <w:tc>
          <w:tcPr>
            <w:tcW w:w="900" w:type="dxa"/>
            <w:vMerge w:val="restart"/>
            <w:tcBorders>
              <w:top w:val="single" w:sz="12" w:space="0" w:color="auto"/>
              <w:left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Pr>
                <w:rFonts w:asciiTheme="majorBidi" w:hAnsiTheme="majorBidi" w:cstheme="majorBidi"/>
                <w:sz w:val="22"/>
                <w:szCs w:val="22"/>
              </w:rPr>
              <w:t>Site Name</w:t>
            </w:r>
          </w:p>
        </w:tc>
        <w:tc>
          <w:tcPr>
            <w:tcW w:w="6975" w:type="dxa"/>
            <w:gridSpan w:val="8"/>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385BAF" w:rsidP="00C31EEC">
            <w:pPr>
              <w:jc w:val="center"/>
              <w:rPr>
                <w:rFonts w:asciiTheme="majorBidi" w:hAnsiTheme="majorBidi" w:cstheme="majorBidi"/>
                <w:sz w:val="22"/>
                <w:szCs w:val="22"/>
              </w:rPr>
            </w:pPr>
            <w:r>
              <w:rPr>
                <w:rFonts w:asciiTheme="majorBidi" w:hAnsiTheme="majorBidi" w:cstheme="majorBidi"/>
                <w:sz w:val="22"/>
                <w:szCs w:val="22"/>
              </w:rPr>
              <w:t xml:space="preserve">Total </w:t>
            </w:r>
            <w:r w:rsidR="00E2576E" w:rsidRPr="00E2576E">
              <w:rPr>
                <w:rFonts w:asciiTheme="majorBidi" w:hAnsiTheme="majorBidi" w:cstheme="majorBidi"/>
                <w:sz w:val="22"/>
                <w:szCs w:val="22"/>
              </w:rPr>
              <w:t>Hazard Quotient (</w:t>
            </w:r>
            <w:r w:rsidR="001D4E71">
              <w:rPr>
                <w:rFonts w:asciiTheme="majorBidi" w:hAnsiTheme="majorBidi" w:cstheme="majorBidi"/>
                <w:sz w:val="22"/>
                <w:szCs w:val="22"/>
              </w:rPr>
              <w:t>T</w:t>
            </w:r>
            <w:r w:rsidR="00E2576E" w:rsidRPr="00E2576E">
              <w:rPr>
                <w:rFonts w:asciiTheme="majorBidi" w:hAnsiTheme="majorBidi" w:cstheme="majorBidi"/>
                <w:sz w:val="22"/>
                <w:szCs w:val="22"/>
              </w:rPr>
              <w:t>HQ)</w:t>
            </w:r>
          </w:p>
        </w:tc>
      </w:tr>
      <w:tr w:rsidR="00CC2F5B" w:rsidRPr="00E2576E" w:rsidTr="000E4C9C">
        <w:trPr>
          <w:trHeight w:val="144"/>
          <w:jc w:val="center"/>
        </w:trPr>
        <w:tc>
          <w:tcPr>
            <w:tcW w:w="435" w:type="dxa"/>
            <w:vMerge/>
            <w:tcBorders>
              <w:left w:val="single" w:sz="12" w:space="0" w:color="auto"/>
              <w:bottom w:val="single" w:sz="12" w:space="0" w:color="auto"/>
              <w:right w:val="single" w:sz="12" w:space="0" w:color="auto"/>
            </w:tcBorders>
            <w:shd w:val="clear" w:color="auto" w:fill="C00000"/>
          </w:tcPr>
          <w:p w:rsidR="00E2576E" w:rsidRPr="00E2576E" w:rsidRDefault="00E2576E" w:rsidP="00C31EEC">
            <w:pPr>
              <w:jc w:val="center"/>
              <w:rPr>
                <w:rFonts w:asciiTheme="majorBidi" w:hAnsiTheme="majorBidi" w:cstheme="majorBidi"/>
                <w:sz w:val="22"/>
                <w:szCs w:val="22"/>
              </w:rPr>
            </w:pPr>
          </w:p>
        </w:tc>
        <w:tc>
          <w:tcPr>
            <w:tcW w:w="900" w:type="dxa"/>
            <w:vMerge/>
            <w:tcBorders>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p>
        </w:tc>
        <w:tc>
          <w:tcPr>
            <w:tcW w:w="900"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As</w:t>
            </w:r>
          </w:p>
        </w:tc>
        <w:tc>
          <w:tcPr>
            <w:tcW w:w="900"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Pb</w:t>
            </w:r>
          </w:p>
        </w:tc>
        <w:tc>
          <w:tcPr>
            <w:tcW w:w="855"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Cd</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Cr</w:t>
            </w:r>
          </w:p>
        </w:tc>
        <w:tc>
          <w:tcPr>
            <w:tcW w:w="855"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Co</w:t>
            </w:r>
          </w:p>
        </w:tc>
        <w:tc>
          <w:tcPr>
            <w:tcW w:w="900"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Cu</w:t>
            </w:r>
          </w:p>
        </w:tc>
        <w:tc>
          <w:tcPr>
            <w:tcW w:w="900"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Ni</w:t>
            </w:r>
          </w:p>
        </w:tc>
        <w:tc>
          <w:tcPr>
            <w:tcW w:w="855" w:type="dxa"/>
            <w:tcBorders>
              <w:top w:val="single" w:sz="12" w:space="0" w:color="auto"/>
              <w:left w:val="single" w:sz="12" w:space="0" w:color="auto"/>
              <w:bottom w:val="single" w:sz="12" w:space="0" w:color="auto"/>
              <w:right w:val="single" w:sz="12" w:space="0" w:color="auto"/>
            </w:tcBorders>
            <w:shd w:val="clear" w:color="auto" w:fill="C00000"/>
            <w:vAlign w:val="center"/>
          </w:tcPr>
          <w:p w:rsidR="00E2576E" w:rsidRPr="00E2576E" w:rsidRDefault="00E2576E" w:rsidP="00C31EEC">
            <w:pPr>
              <w:jc w:val="center"/>
              <w:rPr>
                <w:rFonts w:asciiTheme="majorBidi" w:hAnsiTheme="majorBidi" w:cstheme="majorBidi"/>
                <w:sz w:val="22"/>
                <w:szCs w:val="22"/>
              </w:rPr>
            </w:pPr>
            <w:r w:rsidRPr="00E2576E">
              <w:rPr>
                <w:rFonts w:asciiTheme="majorBidi" w:hAnsiTheme="majorBidi" w:cstheme="majorBidi"/>
                <w:sz w:val="22"/>
                <w:szCs w:val="22"/>
              </w:rPr>
              <w:t>Zn</w:t>
            </w:r>
          </w:p>
        </w:tc>
      </w:tr>
      <w:tr w:rsidR="001C190E" w:rsidRPr="00E2576E" w:rsidTr="000E4C9C">
        <w:trPr>
          <w:cantSplit/>
          <w:trHeight w:val="144"/>
          <w:jc w:val="center"/>
        </w:trPr>
        <w:tc>
          <w:tcPr>
            <w:tcW w:w="435" w:type="dxa"/>
            <w:vMerge w:val="restart"/>
            <w:tcBorders>
              <w:top w:val="single" w:sz="12" w:space="0" w:color="auto"/>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r w:rsidRPr="00E2576E">
              <w:rPr>
                <w:rFonts w:asciiTheme="majorBidi" w:hAnsiTheme="majorBidi" w:cstheme="majorBidi"/>
                <w:sz w:val="22"/>
                <w:szCs w:val="22"/>
              </w:rPr>
              <w:t>Adults</w:t>
            </w:r>
          </w:p>
        </w:tc>
        <w:tc>
          <w:tcPr>
            <w:tcW w:w="900" w:type="dxa"/>
            <w:tcBorders>
              <w:top w:val="single" w:sz="12"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S1</w:t>
            </w:r>
          </w:p>
        </w:tc>
        <w:tc>
          <w:tcPr>
            <w:tcW w:w="900" w:type="dxa"/>
            <w:tcBorders>
              <w:top w:val="single" w:sz="12"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3.8E-02</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4.0E-03</w:t>
            </w:r>
          </w:p>
        </w:tc>
        <w:tc>
          <w:tcPr>
            <w:tcW w:w="855"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9.0E-04</w:t>
            </w:r>
          </w:p>
        </w:tc>
        <w:tc>
          <w:tcPr>
            <w:tcW w:w="810"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4.2E-02</w:t>
            </w:r>
          </w:p>
        </w:tc>
        <w:tc>
          <w:tcPr>
            <w:tcW w:w="855"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8.1E-02</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8.0E-04</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9.1E-03</w:t>
            </w:r>
          </w:p>
        </w:tc>
        <w:tc>
          <w:tcPr>
            <w:tcW w:w="855" w:type="dxa"/>
            <w:tcBorders>
              <w:top w:val="single" w:sz="12"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2.3E-04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S2</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3.0E-02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3.2E-03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6.2E-04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3.3E-02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9.3E-02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8.8E-04</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7.3E-03</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1.7E-04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S3</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4.9E-02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5.3E-03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6.0E-04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4.2E-02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8.8E-02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1.0E-03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1.0E-02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2.6E-04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S4</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5.5E-02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4.3E-03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6.0E-04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3.4E-02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6.6E-02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6.7E-04</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6.4E-03</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1.8E-04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S5</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4.1E-02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4.5E-03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5.8E-04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3.7E-02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7.5E-02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8.6E-04</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8.4E-03</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2.4E-04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S6</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3.9E-02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4.9E-03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9.6E-04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4.3E-02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7.9E-02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9.5E-04</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1.0E-02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2.6E-04</w:t>
            </w:r>
          </w:p>
        </w:tc>
      </w:tr>
      <w:tr w:rsidR="001C190E" w:rsidRPr="00E2576E" w:rsidTr="000E4C9C">
        <w:trPr>
          <w:cantSplit/>
          <w:trHeight w:val="144"/>
          <w:jc w:val="center"/>
        </w:trPr>
        <w:tc>
          <w:tcPr>
            <w:tcW w:w="435" w:type="dxa"/>
            <w:vMerge/>
            <w:tcBorders>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S7</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4.0E-02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5.8E-03</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9.9E-04</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5.3E-02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1.0E-01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1.2E-03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1.1E-02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3.5E-04</w:t>
            </w:r>
          </w:p>
        </w:tc>
      </w:tr>
      <w:tr w:rsidR="001C190E" w:rsidRPr="00E2576E" w:rsidTr="000E4C9C">
        <w:trPr>
          <w:trHeight w:val="144"/>
          <w:jc w:val="center"/>
        </w:trPr>
        <w:tc>
          <w:tcPr>
            <w:tcW w:w="435" w:type="dxa"/>
            <w:vMerge/>
            <w:tcBorders>
              <w:bottom w:val="single" w:sz="12" w:space="0" w:color="auto"/>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p>
        </w:tc>
        <w:tc>
          <w:tcPr>
            <w:tcW w:w="900" w:type="dxa"/>
            <w:tcBorders>
              <w:top w:val="single" w:sz="6" w:space="0" w:color="auto"/>
              <w:left w:val="single" w:sz="12" w:space="0" w:color="auto"/>
              <w:bottom w:val="single" w:sz="12"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S8</w:t>
            </w:r>
          </w:p>
        </w:tc>
        <w:tc>
          <w:tcPr>
            <w:tcW w:w="900" w:type="dxa"/>
            <w:tcBorders>
              <w:top w:val="single" w:sz="6" w:space="0" w:color="auto"/>
              <w:left w:val="single" w:sz="4"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3.5E-02</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4.4E-03</w:t>
            </w:r>
          </w:p>
        </w:tc>
        <w:tc>
          <w:tcPr>
            <w:tcW w:w="855"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9.5E-04</w:t>
            </w:r>
          </w:p>
        </w:tc>
        <w:tc>
          <w:tcPr>
            <w:tcW w:w="810"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4.2E-02</w:t>
            </w:r>
          </w:p>
        </w:tc>
        <w:tc>
          <w:tcPr>
            <w:tcW w:w="855"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8.1E-02</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9.4E-04</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1.0E-02</w:t>
            </w:r>
          </w:p>
        </w:tc>
        <w:tc>
          <w:tcPr>
            <w:tcW w:w="855" w:type="dxa"/>
            <w:tcBorders>
              <w:top w:val="single" w:sz="6" w:space="0" w:color="auto"/>
              <w:left w:val="single" w:sz="6" w:space="0" w:color="auto"/>
              <w:bottom w:val="single" w:sz="12" w:space="0" w:color="auto"/>
              <w:right w:val="single" w:sz="12" w:space="0" w:color="auto"/>
            </w:tcBorders>
            <w:vAlign w:val="bottom"/>
          </w:tcPr>
          <w:p w:rsidR="001C190E" w:rsidRPr="001C190E" w:rsidRDefault="001C190E" w:rsidP="001C190E">
            <w:pPr>
              <w:jc w:val="right"/>
              <w:rPr>
                <w:rFonts w:asciiTheme="majorBidi" w:hAnsiTheme="majorBidi" w:cstheme="majorBidi"/>
                <w:color w:val="000000"/>
                <w:sz w:val="18"/>
                <w:szCs w:val="18"/>
              </w:rPr>
            </w:pPr>
            <w:r w:rsidRPr="001C190E">
              <w:rPr>
                <w:rFonts w:asciiTheme="majorBidi" w:hAnsiTheme="majorBidi" w:cstheme="majorBidi"/>
                <w:color w:val="000000"/>
                <w:sz w:val="18"/>
                <w:szCs w:val="18"/>
              </w:rPr>
              <w:t>2.3E-04</w:t>
            </w:r>
          </w:p>
        </w:tc>
      </w:tr>
      <w:tr w:rsidR="001C190E" w:rsidRPr="00E2576E" w:rsidTr="000E4C9C">
        <w:trPr>
          <w:trHeight w:val="144"/>
          <w:jc w:val="center"/>
        </w:trPr>
        <w:tc>
          <w:tcPr>
            <w:tcW w:w="435" w:type="dxa"/>
            <w:vMerge w:val="restart"/>
            <w:tcBorders>
              <w:top w:val="single" w:sz="12" w:space="0" w:color="auto"/>
              <w:right w:val="single" w:sz="12" w:space="0" w:color="auto"/>
            </w:tcBorders>
            <w:shd w:val="clear" w:color="auto" w:fill="C00000"/>
            <w:textDirection w:val="btLr"/>
            <w:vAlign w:val="bottom"/>
          </w:tcPr>
          <w:p w:rsidR="001C190E" w:rsidRPr="00E2576E" w:rsidRDefault="001C190E" w:rsidP="001C190E">
            <w:pPr>
              <w:ind w:left="113" w:right="113"/>
              <w:jc w:val="center"/>
              <w:rPr>
                <w:rFonts w:asciiTheme="majorBidi" w:hAnsiTheme="majorBidi" w:cstheme="majorBidi"/>
                <w:sz w:val="22"/>
                <w:szCs w:val="22"/>
              </w:rPr>
            </w:pPr>
            <w:r w:rsidRPr="00E2576E">
              <w:rPr>
                <w:rFonts w:asciiTheme="majorBidi" w:hAnsiTheme="majorBidi" w:cstheme="majorBidi"/>
                <w:sz w:val="22"/>
                <w:szCs w:val="22"/>
              </w:rPr>
              <w:t>Children</w:t>
            </w:r>
          </w:p>
        </w:tc>
        <w:tc>
          <w:tcPr>
            <w:tcW w:w="900" w:type="dxa"/>
            <w:tcBorders>
              <w:top w:val="single" w:sz="12"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S1</w:t>
            </w:r>
          </w:p>
        </w:tc>
        <w:tc>
          <w:tcPr>
            <w:tcW w:w="900" w:type="dxa"/>
            <w:tcBorders>
              <w:top w:val="single" w:sz="12"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3.1E-01</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3.7E-02</w:t>
            </w:r>
          </w:p>
        </w:tc>
        <w:tc>
          <w:tcPr>
            <w:tcW w:w="855"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6.8E-03</w:t>
            </w:r>
          </w:p>
        </w:tc>
        <w:tc>
          <w:tcPr>
            <w:tcW w:w="810"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3.8E-01</w:t>
            </w:r>
          </w:p>
        </w:tc>
        <w:tc>
          <w:tcPr>
            <w:tcW w:w="855"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7.5E-01</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7.4E-03</w:t>
            </w:r>
          </w:p>
        </w:tc>
        <w:tc>
          <w:tcPr>
            <w:tcW w:w="900" w:type="dxa"/>
            <w:tcBorders>
              <w:top w:val="single" w:sz="12"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8.1E-02</w:t>
            </w:r>
          </w:p>
        </w:tc>
        <w:tc>
          <w:tcPr>
            <w:tcW w:w="855" w:type="dxa"/>
            <w:tcBorders>
              <w:top w:val="single" w:sz="12"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2.1E-03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S2</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2.5E-01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3.0E-02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4.6E-03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2.9E-01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8.6E-01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8.2E-03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6.5E-02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1.5E-03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S3</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4.0E-01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5.0E-02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4.1E-03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3.7E-01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8.2E-01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9.6E-03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8.9E-02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2.4E-03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S4</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4.5E-01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4.0E-02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4.3E-03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3.1E-01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6.2E-01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6.3E-03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5.7E-02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1.7E-03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S5</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3.4E-01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4.2E-02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4.1E-03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3.3E-01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7.0E-01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8.0E-03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7.5E-02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2.2E-03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S6</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3.2E-01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4.6E-02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7.3E-03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3.8E-01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7.3E-01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8.9E-03</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9.1E-02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2.4E-03</w:t>
            </w:r>
          </w:p>
        </w:tc>
      </w:tr>
      <w:tr w:rsidR="001C190E" w:rsidRPr="00E2576E" w:rsidTr="000E4C9C">
        <w:trPr>
          <w:trHeight w:val="144"/>
          <w:jc w:val="center"/>
        </w:trPr>
        <w:tc>
          <w:tcPr>
            <w:tcW w:w="435" w:type="dxa"/>
            <w:vMerge/>
            <w:tcBorders>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6"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S7</w:t>
            </w:r>
          </w:p>
        </w:tc>
        <w:tc>
          <w:tcPr>
            <w:tcW w:w="900" w:type="dxa"/>
            <w:tcBorders>
              <w:top w:val="single" w:sz="6" w:space="0" w:color="auto"/>
              <w:left w:val="single" w:sz="4"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3.3E-01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5.4E-02</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7.3E-03</w:t>
            </w:r>
          </w:p>
        </w:tc>
        <w:tc>
          <w:tcPr>
            <w:tcW w:w="81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4.7E-01</w:t>
            </w:r>
          </w:p>
        </w:tc>
        <w:tc>
          <w:tcPr>
            <w:tcW w:w="855"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9.3E-01</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1.1E-02</w:t>
            </w:r>
          </w:p>
        </w:tc>
        <w:tc>
          <w:tcPr>
            <w:tcW w:w="900" w:type="dxa"/>
            <w:tcBorders>
              <w:top w:val="single" w:sz="6" w:space="0" w:color="auto"/>
              <w:left w:val="single" w:sz="6" w:space="0" w:color="auto"/>
              <w:bottom w:val="single" w:sz="6"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9.9E-02</w:t>
            </w:r>
          </w:p>
        </w:tc>
        <w:tc>
          <w:tcPr>
            <w:tcW w:w="855" w:type="dxa"/>
            <w:tcBorders>
              <w:top w:val="single" w:sz="6" w:space="0" w:color="auto"/>
              <w:left w:val="single" w:sz="6" w:space="0" w:color="auto"/>
              <w:bottom w:val="single" w:sz="6"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3.2E-03</w:t>
            </w:r>
          </w:p>
        </w:tc>
      </w:tr>
      <w:tr w:rsidR="001C190E" w:rsidRPr="00E2576E" w:rsidTr="000E4C9C">
        <w:trPr>
          <w:trHeight w:val="144"/>
          <w:jc w:val="center"/>
        </w:trPr>
        <w:tc>
          <w:tcPr>
            <w:tcW w:w="435" w:type="dxa"/>
            <w:vMerge/>
            <w:tcBorders>
              <w:bottom w:val="single" w:sz="12" w:space="0" w:color="auto"/>
              <w:right w:val="single" w:sz="12" w:space="0" w:color="auto"/>
            </w:tcBorders>
            <w:shd w:val="clear" w:color="auto" w:fill="C00000"/>
          </w:tcPr>
          <w:p w:rsidR="001C190E" w:rsidRPr="00E2576E" w:rsidRDefault="001C190E" w:rsidP="001C190E">
            <w:pPr>
              <w:jc w:val="center"/>
              <w:rPr>
                <w:rFonts w:asciiTheme="majorBidi" w:hAnsiTheme="majorBidi" w:cstheme="majorBidi"/>
                <w:sz w:val="22"/>
                <w:szCs w:val="22"/>
              </w:rPr>
            </w:pPr>
          </w:p>
        </w:tc>
        <w:tc>
          <w:tcPr>
            <w:tcW w:w="900" w:type="dxa"/>
            <w:tcBorders>
              <w:top w:val="single" w:sz="6" w:space="0" w:color="auto"/>
              <w:left w:val="single" w:sz="12" w:space="0" w:color="auto"/>
              <w:bottom w:val="single" w:sz="12" w:space="0" w:color="auto"/>
              <w:right w:val="single" w:sz="6" w:space="0" w:color="auto"/>
            </w:tcBorders>
            <w:shd w:val="clear" w:color="auto" w:fill="auto"/>
            <w:vAlign w:val="center"/>
          </w:tcPr>
          <w:p w:rsidR="001C190E" w:rsidRPr="00E2576E" w:rsidRDefault="001C190E" w:rsidP="001C190E">
            <w:pPr>
              <w:jc w:val="center"/>
              <w:rPr>
                <w:rFonts w:asciiTheme="majorBidi" w:hAnsiTheme="majorBidi" w:cstheme="majorBidi"/>
                <w:sz w:val="22"/>
                <w:szCs w:val="22"/>
              </w:rPr>
            </w:pPr>
            <w:r w:rsidRPr="00E2576E">
              <w:rPr>
                <w:rFonts w:asciiTheme="majorBidi" w:hAnsiTheme="majorBidi" w:cstheme="majorBidi"/>
                <w:sz w:val="22"/>
                <w:szCs w:val="22"/>
              </w:rPr>
              <w:t>S8</w:t>
            </w:r>
          </w:p>
        </w:tc>
        <w:tc>
          <w:tcPr>
            <w:tcW w:w="900" w:type="dxa"/>
            <w:tcBorders>
              <w:top w:val="single" w:sz="6" w:space="0" w:color="auto"/>
              <w:left w:val="single" w:sz="4"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2.8E-01</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4.1E-02</w:t>
            </w:r>
          </w:p>
        </w:tc>
        <w:tc>
          <w:tcPr>
            <w:tcW w:w="855"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7.3E-03</w:t>
            </w:r>
          </w:p>
        </w:tc>
        <w:tc>
          <w:tcPr>
            <w:tcW w:w="810"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3.8E-01</w:t>
            </w:r>
          </w:p>
        </w:tc>
        <w:tc>
          <w:tcPr>
            <w:tcW w:w="855"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7.5E-01</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8.8E-03</w:t>
            </w:r>
          </w:p>
        </w:tc>
        <w:tc>
          <w:tcPr>
            <w:tcW w:w="900" w:type="dxa"/>
            <w:tcBorders>
              <w:top w:val="single" w:sz="6" w:space="0" w:color="auto"/>
              <w:left w:val="single" w:sz="6" w:space="0" w:color="auto"/>
              <w:bottom w:val="single" w:sz="12" w:space="0" w:color="auto"/>
              <w:right w:val="single" w:sz="6"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8.9E-02</w:t>
            </w:r>
          </w:p>
        </w:tc>
        <w:tc>
          <w:tcPr>
            <w:tcW w:w="855" w:type="dxa"/>
            <w:tcBorders>
              <w:top w:val="single" w:sz="6" w:space="0" w:color="auto"/>
              <w:left w:val="single" w:sz="6" w:space="0" w:color="auto"/>
              <w:bottom w:val="single" w:sz="12" w:space="0" w:color="auto"/>
              <w:right w:val="single" w:sz="12" w:space="0" w:color="auto"/>
            </w:tcBorders>
            <w:vAlign w:val="bottom"/>
          </w:tcPr>
          <w:p w:rsidR="001C190E" w:rsidRDefault="001C190E" w:rsidP="001C190E">
            <w:pPr>
              <w:jc w:val="right"/>
              <w:rPr>
                <w:rFonts w:asciiTheme="majorBidi" w:hAnsiTheme="majorBidi" w:cstheme="majorBidi"/>
                <w:color w:val="000000"/>
                <w:sz w:val="18"/>
                <w:szCs w:val="18"/>
              </w:rPr>
            </w:pPr>
            <w:r>
              <w:rPr>
                <w:rFonts w:asciiTheme="majorBidi" w:hAnsiTheme="majorBidi" w:cstheme="majorBidi"/>
                <w:color w:val="000000"/>
                <w:sz w:val="18"/>
                <w:szCs w:val="18"/>
              </w:rPr>
              <w:t>2.2E-03</w:t>
            </w:r>
          </w:p>
        </w:tc>
      </w:tr>
    </w:tbl>
    <w:p w:rsidR="00386719" w:rsidRDefault="00386719" w:rsidP="00C329A3">
      <w:pPr>
        <w:spacing w:line="240" w:lineRule="auto"/>
        <w:jc w:val="both"/>
        <w:rPr>
          <w:rFonts w:asciiTheme="majorBidi" w:hAnsiTheme="majorBidi" w:cstheme="majorBidi"/>
          <w:sz w:val="24"/>
          <w:szCs w:val="24"/>
        </w:rPr>
      </w:pPr>
    </w:p>
    <w:p w:rsidR="00BA475A" w:rsidRPr="00AD4BF3" w:rsidRDefault="00E2576E" w:rsidP="00C329A3">
      <w:pPr>
        <w:spacing w:line="240" w:lineRule="auto"/>
        <w:jc w:val="both"/>
        <w:rPr>
          <w:rFonts w:asciiTheme="majorBidi" w:hAnsiTheme="majorBidi" w:cstheme="majorBidi"/>
          <w:sz w:val="22"/>
          <w:szCs w:val="22"/>
        </w:rPr>
      </w:pPr>
      <w:r>
        <w:rPr>
          <w:rFonts w:asciiTheme="majorBidi" w:hAnsiTheme="majorBidi" w:cstheme="majorBidi"/>
          <w:b/>
          <w:bCs/>
          <w:sz w:val="22"/>
          <w:szCs w:val="22"/>
        </w:rPr>
        <w:t xml:space="preserve"> </w:t>
      </w:r>
      <w:r w:rsidR="00385BAF">
        <w:rPr>
          <w:rFonts w:asciiTheme="majorBidi" w:hAnsiTheme="majorBidi" w:cstheme="majorBidi"/>
          <w:b/>
          <w:bCs/>
          <w:sz w:val="22"/>
          <w:szCs w:val="22"/>
        </w:rPr>
        <w:t xml:space="preserve">       </w:t>
      </w:r>
      <w:r w:rsidR="00BA475A" w:rsidRPr="00AD4BF3">
        <w:rPr>
          <w:rFonts w:asciiTheme="majorBidi" w:hAnsiTheme="majorBidi" w:cstheme="majorBidi"/>
          <w:b/>
          <w:bCs/>
          <w:sz w:val="22"/>
          <w:szCs w:val="22"/>
        </w:rPr>
        <w:t xml:space="preserve">Table </w:t>
      </w:r>
      <w:r w:rsidR="002145CF">
        <w:rPr>
          <w:rFonts w:asciiTheme="majorBidi" w:hAnsiTheme="majorBidi" w:cstheme="majorBidi"/>
          <w:b/>
          <w:bCs/>
          <w:sz w:val="22"/>
          <w:szCs w:val="22"/>
        </w:rPr>
        <w:t>11</w:t>
      </w:r>
      <w:r w:rsidR="00BA475A" w:rsidRPr="00AD4BF3">
        <w:rPr>
          <w:rFonts w:asciiTheme="majorBidi" w:hAnsiTheme="majorBidi" w:cstheme="majorBidi"/>
          <w:b/>
          <w:bCs/>
          <w:sz w:val="22"/>
          <w:szCs w:val="22"/>
        </w:rPr>
        <w:t xml:space="preserve"> </w:t>
      </w:r>
      <w:r w:rsidR="00BA475A" w:rsidRPr="00AD4BF3">
        <w:rPr>
          <w:rFonts w:asciiTheme="majorBidi" w:hAnsiTheme="majorBidi" w:cstheme="majorBidi"/>
          <w:sz w:val="22"/>
          <w:szCs w:val="22"/>
        </w:rPr>
        <w:t xml:space="preserve">Hazard Index and </w:t>
      </w:r>
      <w:r w:rsidR="00385BAF">
        <w:rPr>
          <w:rFonts w:asciiTheme="majorBidi" w:hAnsiTheme="majorBidi" w:cstheme="majorBidi"/>
          <w:sz w:val="22"/>
          <w:szCs w:val="22"/>
        </w:rPr>
        <w:t xml:space="preserve">Total </w:t>
      </w:r>
      <w:r w:rsidR="00BA475A" w:rsidRPr="00AD4BF3">
        <w:rPr>
          <w:rFonts w:asciiTheme="majorBidi" w:hAnsiTheme="majorBidi" w:cstheme="majorBidi"/>
          <w:sz w:val="22"/>
          <w:szCs w:val="22"/>
        </w:rPr>
        <w:t>Cancer Risk</w:t>
      </w:r>
      <w:r w:rsidR="004A5C76">
        <w:rPr>
          <w:rFonts w:asciiTheme="majorBidi" w:hAnsiTheme="majorBidi" w:cstheme="majorBidi"/>
          <w:sz w:val="22"/>
          <w:szCs w:val="22"/>
        </w:rPr>
        <w:t xml:space="preserve"> of Heavy Metals in Soil of Study Area</w:t>
      </w:r>
      <w:r w:rsidR="00BA475A" w:rsidRPr="00AD4BF3">
        <w:rPr>
          <w:rFonts w:asciiTheme="majorBidi" w:hAnsiTheme="majorBidi" w:cstheme="majorBidi"/>
          <w:sz w:val="22"/>
          <w:szCs w:val="22"/>
        </w:rPr>
        <w:t>.</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
        <w:gridCol w:w="810"/>
        <w:gridCol w:w="810"/>
        <w:gridCol w:w="810"/>
        <w:gridCol w:w="810"/>
        <w:gridCol w:w="810"/>
        <w:gridCol w:w="810"/>
        <w:gridCol w:w="540"/>
        <w:gridCol w:w="810"/>
        <w:gridCol w:w="540"/>
        <w:gridCol w:w="1170"/>
      </w:tblGrid>
      <w:tr w:rsidR="00BA475A" w:rsidRPr="00E2576E" w:rsidTr="000E4C9C">
        <w:trPr>
          <w:trHeight w:val="144"/>
          <w:jc w:val="center"/>
        </w:trPr>
        <w:tc>
          <w:tcPr>
            <w:tcW w:w="465" w:type="dxa"/>
            <w:vMerge w:val="restart"/>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p>
        </w:tc>
        <w:tc>
          <w:tcPr>
            <w:tcW w:w="810" w:type="dxa"/>
            <w:vMerge w:val="restart"/>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E2576E" w:rsidP="005D4F43">
            <w:pPr>
              <w:jc w:val="center"/>
              <w:rPr>
                <w:rFonts w:asciiTheme="majorBidi" w:hAnsiTheme="majorBidi" w:cstheme="majorBidi"/>
                <w:sz w:val="22"/>
                <w:szCs w:val="22"/>
              </w:rPr>
            </w:pPr>
            <w:r w:rsidRPr="00E2576E">
              <w:rPr>
                <w:rFonts w:asciiTheme="majorBidi" w:hAnsiTheme="majorBidi" w:cstheme="majorBidi"/>
                <w:sz w:val="22"/>
                <w:szCs w:val="22"/>
              </w:rPr>
              <w:t>Site Name</w:t>
            </w:r>
          </w:p>
        </w:tc>
        <w:tc>
          <w:tcPr>
            <w:tcW w:w="5940" w:type="dxa"/>
            <w:gridSpan w:val="8"/>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385BAF" w:rsidP="005D4F43">
            <w:pPr>
              <w:jc w:val="center"/>
              <w:rPr>
                <w:rFonts w:asciiTheme="majorBidi" w:hAnsiTheme="majorBidi" w:cstheme="majorBidi"/>
                <w:sz w:val="22"/>
                <w:szCs w:val="22"/>
              </w:rPr>
            </w:pPr>
            <w:r>
              <w:rPr>
                <w:rFonts w:asciiTheme="majorBidi" w:hAnsiTheme="majorBidi" w:cstheme="majorBidi"/>
                <w:sz w:val="22"/>
                <w:szCs w:val="22"/>
              </w:rPr>
              <w:t xml:space="preserve">Total </w:t>
            </w:r>
            <w:r w:rsidR="00BA475A" w:rsidRPr="00E2576E">
              <w:rPr>
                <w:rFonts w:asciiTheme="majorBidi" w:hAnsiTheme="majorBidi" w:cstheme="majorBidi"/>
                <w:sz w:val="22"/>
                <w:szCs w:val="22"/>
              </w:rPr>
              <w:t>Cancer Risk</w:t>
            </w:r>
          </w:p>
        </w:tc>
        <w:tc>
          <w:tcPr>
            <w:tcW w:w="1170" w:type="dxa"/>
            <w:vMerge w:val="restart"/>
            <w:tcBorders>
              <w:top w:val="single" w:sz="12" w:space="0" w:color="auto"/>
              <w:left w:val="single" w:sz="12" w:space="0" w:color="auto"/>
              <w:bottom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Hazard Index (HI)</w:t>
            </w:r>
          </w:p>
        </w:tc>
      </w:tr>
      <w:tr w:rsidR="00385BAF" w:rsidRPr="00E2576E" w:rsidTr="000E4C9C">
        <w:trPr>
          <w:trHeight w:val="144"/>
          <w:jc w:val="center"/>
        </w:trPr>
        <w:tc>
          <w:tcPr>
            <w:tcW w:w="465" w:type="dxa"/>
            <w:vMerge/>
            <w:tcBorders>
              <w:top w:val="single" w:sz="12" w:space="0" w:color="auto"/>
              <w:left w:val="single" w:sz="12" w:space="0" w:color="auto"/>
              <w:bottom w:val="single" w:sz="12" w:space="0" w:color="auto"/>
              <w:right w:val="single" w:sz="12" w:space="0" w:color="auto"/>
            </w:tcBorders>
            <w:shd w:val="clear" w:color="auto" w:fill="8EAADB" w:themeFill="accent1" w:themeFillTint="99"/>
            <w:vAlign w:val="center"/>
          </w:tcPr>
          <w:p w:rsidR="00BA475A" w:rsidRPr="00E2576E" w:rsidRDefault="00BA475A" w:rsidP="005D4F43">
            <w:pPr>
              <w:jc w:val="center"/>
              <w:rPr>
                <w:rFonts w:asciiTheme="majorBidi" w:hAnsiTheme="majorBidi" w:cstheme="majorBidi"/>
                <w:sz w:val="22"/>
                <w:szCs w:val="22"/>
              </w:rPr>
            </w:pPr>
          </w:p>
        </w:tc>
        <w:tc>
          <w:tcPr>
            <w:tcW w:w="810" w:type="dxa"/>
            <w:vMerge/>
            <w:tcBorders>
              <w:top w:val="single" w:sz="12" w:space="0" w:color="auto"/>
              <w:left w:val="single" w:sz="12" w:space="0" w:color="auto"/>
              <w:bottom w:val="single" w:sz="12" w:space="0" w:color="auto"/>
              <w:right w:val="single" w:sz="12" w:space="0" w:color="auto"/>
            </w:tcBorders>
            <w:vAlign w:val="center"/>
          </w:tcPr>
          <w:p w:rsidR="00BA475A" w:rsidRPr="00E2576E" w:rsidRDefault="00BA475A" w:rsidP="005D4F43">
            <w:pPr>
              <w:jc w:val="center"/>
              <w:rPr>
                <w:rFonts w:asciiTheme="majorBidi" w:hAnsiTheme="majorBidi" w:cstheme="majorBidi"/>
                <w:sz w:val="22"/>
                <w:szCs w:val="22"/>
              </w:rPr>
            </w:pP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As</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Pb</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Cd</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Cr</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Co</w:t>
            </w:r>
          </w:p>
        </w:tc>
        <w:tc>
          <w:tcPr>
            <w:tcW w:w="54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Cu</w:t>
            </w:r>
          </w:p>
        </w:tc>
        <w:tc>
          <w:tcPr>
            <w:tcW w:w="81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Ni</w:t>
            </w:r>
          </w:p>
        </w:tc>
        <w:tc>
          <w:tcPr>
            <w:tcW w:w="540" w:type="dxa"/>
            <w:tcBorders>
              <w:top w:val="single" w:sz="12" w:space="0" w:color="auto"/>
              <w:left w:val="single" w:sz="12" w:space="0" w:color="auto"/>
              <w:bottom w:val="single" w:sz="12" w:space="0" w:color="auto"/>
              <w:right w:val="single" w:sz="12" w:space="0" w:color="auto"/>
            </w:tcBorders>
            <w:shd w:val="clear" w:color="auto" w:fill="C00000"/>
            <w:vAlign w:val="center"/>
          </w:tcPr>
          <w:p w:rsidR="00BA475A" w:rsidRPr="00E2576E" w:rsidRDefault="00BA475A" w:rsidP="005D4F43">
            <w:pPr>
              <w:jc w:val="center"/>
              <w:rPr>
                <w:rFonts w:asciiTheme="majorBidi" w:hAnsiTheme="majorBidi" w:cstheme="majorBidi"/>
                <w:sz w:val="22"/>
                <w:szCs w:val="22"/>
              </w:rPr>
            </w:pPr>
            <w:r w:rsidRPr="00E2576E">
              <w:rPr>
                <w:rFonts w:asciiTheme="majorBidi" w:hAnsiTheme="majorBidi" w:cstheme="majorBidi"/>
                <w:sz w:val="22"/>
                <w:szCs w:val="22"/>
              </w:rPr>
              <w:t>Zn</w:t>
            </w:r>
          </w:p>
        </w:tc>
        <w:tc>
          <w:tcPr>
            <w:tcW w:w="1170" w:type="dxa"/>
            <w:vMerge/>
            <w:tcBorders>
              <w:top w:val="nil"/>
              <w:left w:val="single" w:sz="12" w:space="0" w:color="auto"/>
              <w:bottom w:val="single" w:sz="12" w:space="0" w:color="auto"/>
            </w:tcBorders>
            <w:vAlign w:val="center"/>
          </w:tcPr>
          <w:p w:rsidR="00BA475A" w:rsidRPr="00E2576E" w:rsidRDefault="00BA475A" w:rsidP="005D4F43">
            <w:pPr>
              <w:jc w:val="center"/>
              <w:rPr>
                <w:rFonts w:asciiTheme="majorBidi" w:hAnsiTheme="majorBidi" w:cstheme="majorBidi"/>
                <w:sz w:val="22"/>
                <w:szCs w:val="22"/>
              </w:rPr>
            </w:pPr>
          </w:p>
        </w:tc>
      </w:tr>
      <w:tr w:rsidR="005D4F43" w:rsidRPr="00E2576E" w:rsidTr="000E4C9C">
        <w:trPr>
          <w:cantSplit/>
          <w:trHeight w:val="144"/>
          <w:jc w:val="center"/>
        </w:trPr>
        <w:tc>
          <w:tcPr>
            <w:tcW w:w="465" w:type="dxa"/>
            <w:vMerge w:val="restart"/>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r w:rsidRPr="00E2576E">
              <w:rPr>
                <w:rFonts w:asciiTheme="majorBidi" w:hAnsiTheme="majorBidi" w:cstheme="majorBidi"/>
                <w:sz w:val="22"/>
                <w:szCs w:val="22"/>
              </w:rPr>
              <w:t>Adults</w:t>
            </w:r>
          </w:p>
        </w:tc>
        <w:tc>
          <w:tcPr>
            <w:tcW w:w="810" w:type="dxa"/>
            <w:tcBorders>
              <w:top w:val="single" w:sz="12"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S1</w:t>
            </w:r>
          </w:p>
        </w:tc>
        <w:tc>
          <w:tcPr>
            <w:tcW w:w="810" w:type="dxa"/>
            <w:tcBorders>
              <w:top w:val="single" w:sz="12"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6.6E-06</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5.0E-08</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3.8E-14</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2.7E-05</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1.3E-11</w:t>
            </w:r>
          </w:p>
        </w:tc>
        <w:tc>
          <w:tcPr>
            <w:tcW w:w="540" w:type="dxa"/>
            <w:tcBorders>
              <w:top w:val="single" w:sz="12"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2.6E-12</w:t>
            </w:r>
          </w:p>
        </w:tc>
        <w:tc>
          <w:tcPr>
            <w:tcW w:w="540" w:type="dxa"/>
            <w:tcBorders>
              <w:top w:val="single" w:sz="12"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12"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0.177</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S2</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5.2E-06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4.0E-08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2.6E-14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2.1E-05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1.5E-11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2.1E-12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0.168</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S3</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8.6E-06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6.8E-08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2.3E-14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2.7E-05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1.4E-11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2.8E-12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0.196</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S4</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9.6E-06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5.5E-08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2.4E-14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2.2E-05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1.8E-12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0.168</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S5</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7.2E-06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5.8E-08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2.3E-14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2.4E-05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2.4E-12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0.168</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S6</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6.8E-06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6.3E-08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4.1E-14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2.7E-05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2.9E-12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0.178</w:t>
            </w:r>
          </w:p>
        </w:tc>
      </w:tr>
      <w:tr w:rsidR="005D4F43" w:rsidRPr="00E2576E" w:rsidTr="000E4C9C">
        <w:trPr>
          <w:cantSplit/>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S7</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7.0E-06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7.3E-08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4.1E-14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3.4E-05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1.6E-11</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3.1E-12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0.213</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p>
        </w:tc>
        <w:tc>
          <w:tcPr>
            <w:tcW w:w="810" w:type="dxa"/>
            <w:tcBorders>
              <w:top w:val="single" w:sz="6" w:space="0" w:color="auto"/>
              <w:left w:val="single" w:sz="12" w:space="0" w:color="auto"/>
              <w:bottom w:val="single" w:sz="12" w:space="0" w:color="auto"/>
              <w:right w:val="single" w:sz="6" w:space="0" w:color="auto"/>
            </w:tcBorders>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S8</w:t>
            </w:r>
          </w:p>
        </w:tc>
        <w:tc>
          <w:tcPr>
            <w:tcW w:w="810" w:type="dxa"/>
            <w:tcBorders>
              <w:top w:val="single" w:sz="6" w:space="0" w:color="auto"/>
              <w:left w:val="single" w:sz="12"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6.0E-06</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5.7E-08</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4.1E-14</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2.7E-05</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1.3E-11</w:t>
            </w:r>
          </w:p>
        </w:tc>
        <w:tc>
          <w:tcPr>
            <w:tcW w:w="540" w:type="dxa"/>
            <w:tcBorders>
              <w:top w:val="single" w:sz="6" w:space="0" w:color="auto"/>
              <w:left w:val="single" w:sz="6" w:space="0" w:color="auto"/>
              <w:bottom w:val="single" w:sz="12"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2.8E-12</w:t>
            </w:r>
          </w:p>
        </w:tc>
        <w:tc>
          <w:tcPr>
            <w:tcW w:w="540" w:type="dxa"/>
            <w:tcBorders>
              <w:top w:val="single" w:sz="6" w:space="0" w:color="auto"/>
              <w:left w:val="single" w:sz="6" w:space="0" w:color="auto"/>
              <w:bottom w:val="single" w:sz="12"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6" w:space="0" w:color="auto"/>
              <w:left w:val="single" w:sz="12" w:space="0" w:color="auto"/>
              <w:bottom w:val="single" w:sz="12" w:space="0" w:color="auto"/>
              <w:right w:val="single" w:sz="12" w:space="0" w:color="auto"/>
            </w:tcBorders>
            <w:shd w:val="clear" w:color="auto" w:fill="FFFFFF" w:themeFill="background1"/>
            <w:vAlign w:val="center"/>
          </w:tcPr>
          <w:p w:rsidR="005D4F43" w:rsidRDefault="005D4F43" w:rsidP="005D4F43">
            <w:pPr>
              <w:jc w:val="center"/>
              <w:rPr>
                <w:rFonts w:asciiTheme="majorBidi" w:hAnsiTheme="majorBidi" w:cstheme="majorBidi"/>
                <w:color w:val="00B050"/>
                <w:sz w:val="18"/>
                <w:szCs w:val="18"/>
              </w:rPr>
            </w:pPr>
            <w:r>
              <w:rPr>
                <w:rFonts w:asciiTheme="majorBidi" w:hAnsiTheme="majorBidi" w:cstheme="majorBidi"/>
                <w:color w:val="00B050"/>
                <w:sz w:val="18"/>
                <w:szCs w:val="18"/>
              </w:rPr>
              <w:t>0.174</w:t>
            </w:r>
          </w:p>
        </w:tc>
      </w:tr>
      <w:tr w:rsidR="005D4F43" w:rsidRPr="00E2576E" w:rsidTr="000E4C9C">
        <w:trPr>
          <w:trHeight w:val="144"/>
          <w:jc w:val="center"/>
        </w:trPr>
        <w:tc>
          <w:tcPr>
            <w:tcW w:w="465" w:type="dxa"/>
            <w:vMerge w:val="restart"/>
            <w:tcBorders>
              <w:top w:val="single" w:sz="12" w:space="0" w:color="auto"/>
              <w:bottom w:val="single" w:sz="12" w:space="0" w:color="auto"/>
              <w:right w:val="single" w:sz="12" w:space="0" w:color="auto"/>
            </w:tcBorders>
            <w:shd w:val="clear" w:color="auto" w:fill="C00000"/>
            <w:textDirection w:val="btLr"/>
            <w:vAlign w:val="center"/>
          </w:tcPr>
          <w:p w:rsidR="005D4F43" w:rsidRPr="00E2576E" w:rsidRDefault="005D4F43" w:rsidP="005D4F43">
            <w:pPr>
              <w:ind w:left="113" w:right="113"/>
              <w:jc w:val="center"/>
              <w:rPr>
                <w:rFonts w:asciiTheme="majorBidi" w:hAnsiTheme="majorBidi" w:cstheme="majorBidi"/>
                <w:sz w:val="22"/>
                <w:szCs w:val="22"/>
              </w:rPr>
            </w:pPr>
            <w:r w:rsidRPr="00E2576E">
              <w:rPr>
                <w:rFonts w:asciiTheme="majorBidi" w:hAnsiTheme="majorBidi" w:cstheme="majorBidi"/>
                <w:sz w:val="22"/>
                <w:szCs w:val="22"/>
              </w:rPr>
              <w:t>Children</w:t>
            </w:r>
          </w:p>
        </w:tc>
        <w:tc>
          <w:tcPr>
            <w:tcW w:w="810"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S1</w:t>
            </w:r>
          </w:p>
        </w:tc>
        <w:tc>
          <w:tcPr>
            <w:tcW w:w="810" w:type="dxa"/>
            <w:tcBorders>
              <w:top w:val="single" w:sz="12"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1.2E-05</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9.4E-08</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1.8E-14</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4.9E-05</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6.2E-12</w:t>
            </w:r>
          </w:p>
        </w:tc>
        <w:tc>
          <w:tcPr>
            <w:tcW w:w="540" w:type="dxa"/>
            <w:tcBorders>
              <w:top w:val="single" w:sz="12"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12"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1.2E-12</w:t>
            </w:r>
          </w:p>
        </w:tc>
        <w:tc>
          <w:tcPr>
            <w:tcW w:w="540" w:type="dxa"/>
            <w:tcBorders>
              <w:top w:val="single" w:sz="12"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12"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1.576</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S2</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9.4E-06</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7.5E-08</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3.8E-05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7.1E-12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9.6E-13</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1.511</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S3</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1.6E-05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1.3E-07</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4.8E-05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6.7E-12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1.747</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S4</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1.7E-05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1.0E-07</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3.9E-05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5.1E-12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8.3E-13</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1.480</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S5</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1.1E-07</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4.2E-05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5.7E-12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1.497</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S6</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1.2E-07</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1.9E-14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4.9E-05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6.0E-12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1.587</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S7</w:t>
            </w:r>
          </w:p>
        </w:tc>
        <w:tc>
          <w:tcPr>
            <w:tcW w:w="810" w:type="dxa"/>
            <w:tcBorders>
              <w:top w:val="single" w:sz="6" w:space="0" w:color="auto"/>
              <w:left w:val="single" w:sz="12"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1.4E-07</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1.9E-14</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6.0E-05</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7.7E-12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1.5E-12</w:t>
            </w:r>
          </w:p>
        </w:tc>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1.905</w:t>
            </w:r>
          </w:p>
        </w:tc>
      </w:tr>
      <w:tr w:rsidR="005D4F43" w:rsidRPr="00E2576E" w:rsidTr="000E4C9C">
        <w:trPr>
          <w:trHeight w:val="144"/>
          <w:jc w:val="center"/>
        </w:trPr>
        <w:tc>
          <w:tcPr>
            <w:tcW w:w="465" w:type="dxa"/>
            <w:vMerge/>
            <w:tcBorders>
              <w:top w:val="single" w:sz="12" w:space="0" w:color="auto"/>
              <w:bottom w:val="single" w:sz="12" w:space="0" w:color="auto"/>
              <w:right w:val="single" w:sz="12" w:space="0" w:color="auto"/>
            </w:tcBorders>
            <w:shd w:val="clear" w:color="auto" w:fill="C00000"/>
            <w:vAlign w:val="center"/>
          </w:tcPr>
          <w:p w:rsidR="005D4F43" w:rsidRPr="00E2576E" w:rsidRDefault="005D4F43" w:rsidP="005D4F43">
            <w:pPr>
              <w:jc w:val="center"/>
              <w:rPr>
                <w:rFonts w:asciiTheme="majorBidi" w:hAnsiTheme="majorBidi" w:cstheme="majorBidi"/>
                <w:sz w:val="22"/>
                <w:szCs w:val="22"/>
              </w:rPr>
            </w:pPr>
          </w:p>
        </w:tc>
        <w:tc>
          <w:tcPr>
            <w:tcW w:w="810"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S8</w:t>
            </w:r>
          </w:p>
        </w:tc>
        <w:tc>
          <w:tcPr>
            <w:tcW w:w="810" w:type="dxa"/>
            <w:tcBorders>
              <w:top w:val="single" w:sz="6" w:space="0" w:color="auto"/>
              <w:left w:val="single" w:sz="12"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1.1E-05</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1.1E-07</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1.9E-14</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4.8E-05</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6.2E-12</w:t>
            </w:r>
          </w:p>
        </w:tc>
        <w:tc>
          <w:tcPr>
            <w:tcW w:w="540" w:type="dxa"/>
            <w:tcBorders>
              <w:top w:val="single" w:sz="6" w:space="0" w:color="auto"/>
              <w:left w:val="single" w:sz="6" w:space="0" w:color="auto"/>
              <w:bottom w:val="single" w:sz="12"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810" w:type="dxa"/>
            <w:tcBorders>
              <w:top w:val="single" w:sz="6" w:space="0" w:color="auto"/>
              <w:left w:val="single" w:sz="6" w:space="0" w:color="auto"/>
              <w:bottom w:val="single" w:sz="12" w:space="0" w:color="auto"/>
              <w:right w:val="single" w:sz="6" w:space="0" w:color="auto"/>
            </w:tcBorders>
            <w:vAlign w:val="center"/>
          </w:tcPr>
          <w:p w:rsidR="005D4F43" w:rsidRDefault="005D4F43" w:rsidP="005D4F43">
            <w:pPr>
              <w:jc w:val="center"/>
              <w:rPr>
                <w:rFonts w:asciiTheme="majorBidi" w:hAnsiTheme="majorBidi" w:cstheme="majorBidi"/>
                <w:color w:val="000000"/>
                <w:sz w:val="18"/>
                <w:szCs w:val="18"/>
              </w:rPr>
            </w:pPr>
            <w:r>
              <w:rPr>
                <w:rFonts w:asciiTheme="majorBidi" w:hAnsiTheme="majorBidi" w:cstheme="majorBidi"/>
                <w:color w:val="000000"/>
                <w:sz w:val="18"/>
                <w:szCs w:val="18"/>
              </w:rPr>
              <w:t>1.3E-12</w:t>
            </w:r>
          </w:p>
        </w:tc>
        <w:tc>
          <w:tcPr>
            <w:tcW w:w="540" w:type="dxa"/>
            <w:tcBorders>
              <w:top w:val="single" w:sz="6" w:space="0" w:color="auto"/>
              <w:left w:val="single" w:sz="6" w:space="0" w:color="auto"/>
              <w:bottom w:val="single" w:sz="12" w:space="0" w:color="auto"/>
              <w:right w:val="single" w:sz="6" w:space="0" w:color="auto"/>
            </w:tcBorders>
            <w:shd w:val="clear" w:color="auto" w:fill="auto"/>
            <w:vAlign w:val="center"/>
          </w:tcPr>
          <w:p w:rsidR="005D4F43" w:rsidRPr="00E2576E" w:rsidRDefault="005D4F43" w:rsidP="005D4F43">
            <w:pPr>
              <w:jc w:val="center"/>
              <w:rPr>
                <w:rFonts w:asciiTheme="majorBidi" w:hAnsiTheme="majorBidi" w:cstheme="majorBidi"/>
                <w:sz w:val="22"/>
                <w:szCs w:val="22"/>
              </w:rPr>
            </w:pPr>
            <w:r w:rsidRPr="00E2576E">
              <w:rPr>
                <w:rFonts w:asciiTheme="majorBidi" w:hAnsiTheme="majorBidi" w:cstheme="majorBidi"/>
                <w:sz w:val="22"/>
                <w:szCs w:val="22"/>
              </w:rPr>
              <w:t>-</w:t>
            </w:r>
          </w:p>
        </w:tc>
        <w:tc>
          <w:tcPr>
            <w:tcW w:w="1170" w:type="dxa"/>
            <w:tcBorders>
              <w:top w:val="single" w:sz="4" w:space="0" w:color="auto"/>
              <w:left w:val="single" w:sz="12" w:space="0" w:color="auto"/>
              <w:bottom w:val="single" w:sz="4" w:space="0" w:color="auto"/>
              <w:right w:val="single" w:sz="12" w:space="0" w:color="auto"/>
            </w:tcBorders>
            <w:vAlign w:val="center"/>
          </w:tcPr>
          <w:p w:rsidR="005D4F43" w:rsidRDefault="005D4F43" w:rsidP="005D4F43">
            <w:pPr>
              <w:jc w:val="center"/>
              <w:rPr>
                <w:rFonts w:asciiTheme="majorBidi" w:hAnsiTheme="majorBidi" w:cstheme="majorBidi"/>
                <w:color w:val="FF0000"/>
                <w:sz w:val="18"/>
                <w:szCs w:val="18"/>
              </w:rPr>
            </w:pPr>
            <w:r>
              <w:rPr>
                <w:rFonts w:asciiTheme="majorBidi" w:hAnsiTheme="majorBidi" w:cstheme="majorBidi"/>
                <w:color w:val="FF0000"/>
                <w:sz w:val="18"/>
                <w:szCs w:val="18"/>
              </w:rPr>
              <w:t>1.555</w:t>
            </w:r>
          </w:p>
        </w:tc>
      </w:tr>
      <w:tr w:rsidR="005D4F43" w:rsidRPr="00E2576E" w:rsidTr="00D566D0">
        <w:trPr>
          <w:cantSplit/>
          <w:trHeight w:val="144"/>
          <w:jc w:val="center"/>
        </w:trPr>
        <w:tc>
          <w:tcPr>
            <w:tcW w:w="8385" w:type="dxa"/>
            <w:gridSpan w:val="11"/>
            <w:tcBorders>
              <w:top w:val="single" w:sz="12" w:space="0" w:color="auto"/>
              <w:bottom w:val="single" w:sz="12" w:space="0" w:color="auto"/>
              <w:right w:val="single" w:sz="12" w:space="0" w:color="auto"/>
            </w:tcBorders>
            <w:shd w:val="clear" w:color="auto" w:fill="FFFFFF" w:themeFill="background1"/>
            <w:vAlign w:val="center"/>
          </w:tcPr>
          <w:p w:rsidR="005D4F43" w:rsidRPr="00E2576E" w:rsidRDefault="005D4F43" w:rsidP="00D566D0">
            <w:pPr>
              <w:shd w:val="clear" w:color="auto" w:fill="FFFFFF" w:themeFill="background1"/>
              <w:rPr>
                <w:rFonts w:asciiTheme="majorBidi" w:hAnsiTheme="majorBidi" w:cstheme="majorBidi"/>
                <w:color w:val="00B050"/>
                <w:sz w:val="22"/>
                <w:szCs w:val="22"/>
              </w:rPr>
            </w:pPr>
            <w:r w:rsidRPr="00E2576E">
              <w:rPr>
                <w:rFonts w:asciiTheme="majorBidi" w:hAnsiTheme="majorBidi" w:cstheme="majorBidi"/>
                <w:color w:val="00B050"/>
                <w:sz w:val="22"/>
                <w:szCs w:val="22"/>
              </w:rPr>
              <w:t>*</w:t>
            </w:r>
            <w:r w:rsidRPr="00A56A9D">
              <w:rPr>
                <w:rFonts w:asciiTheme="majorBidi" w:hAnsiTheme="majorBidi" w:cstheme="majorBidi"/>
                <w:i/>
                <w:iCs/>
                <w:noProof/>
                <w:color w:val="00B050"/>
                <w:sz w:val="22"/>
                <w:szCs w:val="22"/>
              </w:rPr>
              <w:t>HI</w:t>
            </w:r>
            <w:r w:rsidRPr="00E2576E">
              <w:rPr>
                <w:rFonts w:asciiTheme="majorBidi" w:hAnsiTheme="majorBidi" w:cstheme="majorBidi"/>
                <w:color w:val="00B050"/>
                <w:sz w:val="22"/>
                <w:szCs w:val="22"/>
              </w:rPr>
              <w:t xml:space="preserve"> &lt;1 </w:t>
            </w:r>
            <w:r w:rsidRPr="0025429F">
              <w:rPr>
                <w:rFonts w:asciiTheme="majorBidi" w:hAnsiTheme="majorBidi" w:cstheme="majorBidi"/>
                <w:noProof/>
                <w:color w:val="00B050"/>
                <w:sz w:val="22"/>
                <w:szCs w:val="22"/>
              </w:rPr>
              <w:t>mean</w:t>
            </w:r>
            <w:r w:rsidR="0025429F">
              <w:rPr>
                <w:rFonts w:asciiTheme="majorBidi" w:hAnsiTheme="majorBidi" w:cstheme="majorBidi"/>
                <w:noProof/>
                <w:color w:val="00B050"/>
                <w:sz w:val="22"/>
                <w:szCs w:val="22"/>
              </w:rPr>
              <w:t>s</w:t>
            </w:r>
            <w:r w:rsidRPr="00E2576E">
              <w:rPr>
                <w:rFonts w:asciiTheme="majorBidi" w:hAnsiTheme="majorBidi" w:cstheme="majorBidi"/>
                <w:color w:val="00B050"/>
                <w:sz w:val="22"/>
                <w:szCs w:val="22"/>
              </w:rPr>
              <w:t xml:space="preserve"> the</w:t>
            </w:r>
            <w:r w:rsidR="001E4201">
              <w:rPr>
                <w:rFonts w:asciiTheme="majorBidi" w:hAnsiTheme="majorBidi" w:cstheme="majorBidi"/>
                <w:color w:val="00B050"/>
                <w:sz w:val="22"/>
                <w:szCs w:val="22"/>
              </w:rPr>
              <w:t xml:space="preserve">re </w:t>
            </w:r>
            <w:r w:rsidR="00A56A9D">
              <w:rPr>
                <w:rFonts w:asciiTheme="majorBidi" w:hAnsiTheme="majorBidi" w:cstheme="majorBidi"/>
                <w:noProof/>
                <w:color w:val="00B050"/>
                <w:sz w:val="22"/>
                <w:szCs w:val="22"/>
              </w:rPr>
              <w:t>is</w:t>
            </w:r>
            <w:r w:rsidR="001E4201">
              <w:rPr>
                <w:rFonts w:asciiTheme="majorBidi" w:hAnsiTheme="majorBidi" w:cstheme="majorBidi"/>
                <w:color w:val="00B050"/>
                <w:sz w:val="22"/>
                <w:szCs w:val="22"/>
              </w:rPr>
              <w:t xml:space="preserve"> </w:t>
            </w:r>
            <w:r w:rsidR="0025429F">
              <w:rPr>
                <w:rFonts w:asciiTheme="majorBidi" w:hAnsiTheme="majorBidi" w:cstheme="majorBidi"/>
                <w:color w:val="00B050"/>
                <w:sz w:val="22"/>
                <w:szCs w:val="22"/>
              </w:rPr>
              <w:t xml:space="preserve">no </w:t>
            </w:r>
            <w:r w:rsidR="001E4201">
              <w:rPr>
                <w:rFonts w:asciiTheme="majorBidi" w:hAnsiTheme="majorBidi" w:cstheme="majorBidi"/>
                <w:color w:val="00B050"/>
                <w:sz w:val="22"/>
                <w:szCs w:val="22"/>
              </w:rPr>
              <w:t>non-carcinogenic</w:t>
            </w:r>
            <w:r w:rsidRPr="00E2576E">
              <w:rPr>
                <w:rFonts w:asciiTheme="majorBidi" w:hAnsiTheme="majorBidi" w:cstheme="majorBidi"/>
                <w:color w:val="00B050"/>
                <w:sz w:val="22"/>
                <w:szCs w:val="22"/>
              </w:rPr>
              <w:t xml:space="preserve"> effects</w:t>
            </w:r>
            <w:r w:rsidR="0025429F">
              <w:rPr>
                <w:rFonts w:asciiTheme="majorBidi" w:hAnsiTheme="majorBidi" w:cstheme="majorBidi"/>
                <w:color w:val="00B050"/>
                <w:sz w:val="22"/>
                <w:szCs w:val="22"/>
              </w:rPr>
              <w:t xml:space="preserve"> risk</w:t>
            </w:r>
            <w:r w:rsidRPr="00E2576E">
              <w:rPr>
                <w:rFonts w:asciiTheme="majorBidi" w:hAnsiTheme="majorBidi" w:cstheme="majorBidi"/>
                <w:color w:val="00B050"/>
                <w:sz w:val="22"/>
                <w:szCs w:val="22"/>
              </w:rPr>
              <w:t>.</w:t>
            </w:r>
          </w:p>
          <w:p w:rsidR="005D4F43" w:rsidRPr="00E2576E" w:rsidRDefault="005D4F43" w:rsidP="00D566D0">
            <w:pPr>
              <w:shd w:val="clear" w:color="auto" w:fill="FFFFFF" w:themeFill="background1"/>
              <w:rPr>
                <w:rFonts w:asciiTheme="majorBidi" w:hAnsiTheme="majorBidi" w:cstheme="majorBidi"/>
                <w:color w:val="00B050"/>
                <w:sz w:val="22"/>
                <w:szCs w:val="22"/>
              </w:rPr>
            </w:pPr>
            <w:r w:rsidRPr="00E2576E">
              <w:rPr>
                <w:rFonts w:asciiTheme="majorBidi" w:hAnsiTheme="majorBidi" w:cstheme="majorBidi"/>
                <w:color w:val="FF0000"/>
                <w:sz w:val="22"/>
                <w:szCs w:val="22"/>
              </w:rPr>
              <w:t>*</w:t>
            </w:r>
            <w:r w:rsidRPr="00B364A0">
              <w:rPr>
                <w:rFonts w:asciiTheme="majorBidi" w:hAnsiTheme="majorBidi" w:cstheme="majorBidi"/>
                <w:i/>
                <w:iCs/>
                <w:color w:val="FF0000"/>
                <w:sz w:val="22"/>
                <w:szCs w:val="22"/>
              </w:rPr>
              <w:t xml:space="preserve">HI </w:t>
            </w:r>
            <w:r w:rsidRPr="00E2576E">
              <w:rPr>
                <w:rFonts w:asciiTheme="majorBidi" w:hAnsiTheme="majorBidi" w:cstheme="majorBidi"/>
                <w:color w:val="FF0000"/>
                <w:sz w:val="22"/>
                <w:szCs w:val="22"/>
              </w:rPr>
              <w:t xml:space="preserve">&gt; 1 </w:t>
            </w:r>
            <w:r w:rsidRPr="0025429F">
              <w:rPr>
                <w:rFonts w:asciiTheme="majorBidi" w:hAnsiTheme="majorBidi" w:cstheme="majorBidi"/>
                <w:noProof/>
                <w:color w:val="FF0000"/>
                <w:sz w:val="22"/>
                <w:szCs w:val="22"/>
              </w:rPr>
              <w:t>mean</w:t>
            </w:r>
            <w:r w:rsidR="0025429F">
              <w:rPr>
                <w:rFonts w:asciiTheme="majorBidi" w:hAnsiTheme="majorBidi" w:cstheme="majorBidi"/>
                <w:noProof/>
                <w:color w:val="FF0000"/>
                <w:sz w:val="22"/>
                <w:szCs w:val="22"/>
              </w:rPr>
              <w:t>s</w:t>
            </w:r>
            <w:r w:rsidRPr="00E2576E">
              <w:rPr>
                <w:rFonts w:asciiTheme="majorBidi" w:hAnsiTheme="majorBidi" w:cstheme="majorBidi"/>
                <w:color w:val="FF0000"/>
                <w:sz w:val="22"/>
                <w:szCs w:val="22"/>
              </w:rPr>
              <w:t xml:space="preserve"> there </w:t>
            </w:r>
            <w:r w:rsidR="00A56A9D">
              <w:rPr>
                <w:rFonts w:asciiTheme="majorBidi" w:hAnsiTheme="majorBidi" w:cstheme="majorBidi"/>
                <w:noProof/>
                <w:color w:val="FF0000"/>
                <w:sz w:val="22"/>
                <w:szCs w:val="22"/>
              </w:rPr>
              <w:t>is</w:t>
            </w:r>
            <w:r w:rsidRPr="00E2576E">
              <w:rPr>
                <w:rFonts w:asciiTheme="majorBidi" w:hAnsiTheme="majorBidi" w:cstheme="majorBidi"/>
                <w:color w:val="FF0000"/>
                <w:sz w:val="22"/>
                <w:szCs w:val="22"/>
              </w:rPr>
              <w:t xml:space="preserve"> </w:t>
            </w:r>
            <w:r w:rsidRPr="000E0F12">
              <w:rPr>
                <w:rFonts w:asciiTheme="majorBidi" w:hAnsiTheme="majorBidi" w:cstheme="majorBidi"/>
                <w:noProof/>
                <w:color w:val="FF0000"/>
                <w:sz w:val="22"/>
                <w:szCs w:val="22"/>
              </w:rPr>
              <w:t>non</w:t>
            </w:r>
            <w:r w:rsidR="001E4201">
              <w:rPr>
                <w:rFonts w:asciiTheme="majorBidi" w:hAnsiTheme="majorBidi" w:cstheme="majorBidi"/>
                <w:noProof/>
                <w:color w:val="FF0000"/>
                <w:sz w:val="22"/>
                <w:szCs w:val="22"/>
              </w:rPr>
              <w:t>-</w:t>
            </w:r>
            <w:r w:rsidRPr="000E0F12">
              <w:rPr>
                <w:rFonts w:asciiTheme="majorBidi" w:hAnsiTheme="majorBidi" w:cstheme="majorBidi"/>
                <w:noProof/>
                <w:color w:val="FF0000"/>
                <w:sz w:val="22"/>
                <w:szCs w:val="22"/>
              </w:rPr>
              <w:t>carcinogenic</w:t>
            </w:r>
            <w:r w:rsidRPr="00E2576E">
              <w:rPr>
                <w:rFonts w:asciiTheme="majorBidi" w:hAnsiTheme="majorBidi" w:cstheme="majorBidi"/>
                <w:color w:val="FF0000"/>
                <w:sz w:val="22"/>
                <w:szCs w:val="22"/>
              </w:rPr>
              <w:t xml:space="preserve"> </w:t>
            </w:r>
            <w:r w:rsidR="0025429F">
              <w:rPr>
                <w:rFonts w:asciiTheme="majorBidi" w:hAnsiTheme="majorBidi" w:cstheme="majorBidi"/>
                <w:color w:val="FF0000"/>
                <w:sz w:val="22"/>
                <w:szCs w:val="22"/>
              </w:rPr>
              <w:t xml:space="preserve">adverse </w:t>
            </w:r>
            <w:r w:rsidRPr="00E2576E">
              <w:rPr>
                <w:rFonts w:asciiTheme="majorBidi" w:hAnsiTheme="majorBidi" w:cstheme="majorBidi"/>
                <w:color w:val="FF0000"/>
                <w:sz w:val="22"/>
                <w:szCs w:val="22"/>
              </w:rPr>
              <w:t>effect</w:t>
            </w:r>
            <w:r w:rsidR="005340D6">
              <w:rPr>
                <w:rFonts w:asciiTheme="majorBidi" w:hAnsiTheme="majorBidi" w:cstheme="majorBidi"/>
                <w:color w:val="FF0000"/>
                <w:sz w:val="22"/>
                <w:szCs w:val="22"/>
              </w:rPr>
              <w:t>s risk</w:t>
            </w:r>
            <w:r w:rsidRPr="00E2576E">
              <w:rPr>
                <w:rFonts w:asciiTheme="majorBidi" w:hAnsiTheme="majorBidi" w:cstheme="majorBidi"/>
                <w:color w:val="FF0000"/>
                <w:sz w:val="22"/>
                <w:szCs w:val="22"/>
              </w:rPr>
              <w:t>.</w:t>
            </w:r>
          </w:p>
        </w:tc>
      </w:tr>
    </w:tbl>
    <w:p w:rsidR="005911ED" w:rsidRDefault="005911ED" w:rsidP="00E41EBB">
      <w:pPr>
        <w:spacing w:line="240" w:lineRule="auto"/>
        <w:rPr>
          <w:rFonts w:asciiTheme="majorBidi" w:hAnsiTheme="majorBidi" w:cstheme="majorBidi"/>
          <w:sz w:val="24"/>
          <w:szCs w:val="24"/>
        </w:rPr>
      </w:pPr>
    </w:p>
    <w:p w:rsidR="006570EE" w:rsidRPr="00C329A3" w:rsidRDefault="001B1FB4" w:rsidP="006570EE">
      <w:pPr>
        <w:spacing w:line="240" w:lineRule="auto"/>
        <w:jc w:val="center"/>
        <w:rPr>
          <w:rFonts w:asciiTheme="majorBidi" w:hAnsiTheme="majorBidi" w:cstheme="majorBidi"/>
          <w:sz w:val="24"/>
          <w:szCs w:val="24"/>
        </w:rPr>
      </w:pPr>
      <w:r w:rsidRPr="001B1FB4">
        <w:rPr>
          <w:rFonts w:asciiTheme="majorBidi" w:hAnsiTheme="majorBidi" w:cstheme="majorBidi"/>
          <w:noProof/>
          <w:sz w:val="24"/>
          <w:szCs w:val="24"/>
        </w:rPr>
        <w:drawing>
          <wp:inline distT="0" distB="0" distL="0" distR="0">
            <wp:extent cx="4514850" cy="3188245"/>
            <wp:effectExtent l="0" t="0" r="0" b="0"/>
            <wp:docPr id="1" name="Picture 1" descr="C:\Users\MUSTAFA\Desktop\kozal oglan\geology\MS\MAMaMA\Maps and Images\Soil Maps\final soil\HI-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kozal oglan\geology\MS\MAMaMA\Maps and Images\Soil Maps\final soil\HI-NEW.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65" t="2626" r="2408" b="45357"/>
                    <a:stretch/>
                  </pic:blipFill>
                  <pic:spPr bwMode="auto">
                    <a:xfrm>
                      <a:off x="0" y="0"/>
                      <a:ext cx="4526233" cy="3196283"/>
                    </a:xfrm>
                    <a:prstGeom prst="rect">
                      <a:avLst/>
                    </a:prstGeom>
                    <a:noFill/>
                    <a:ln>
                      <a:noFill/>
                    </a:ln>
                    <a:extLst>
                      <a:ext uri="{53640926-AAD7-44D8-BBD7-CCE9431645EC}">
                        <a14:shadowObscured xmlns:a14="http://schemas.microsoft.com/office/drawing/2010/main"/>
                      </a:ext>
                    </a:extLst>
                  </pic:spPr>
                </pic:pic>
              </a:graphicData>
            </a:graphic>
          </wp:inline>
        </w:drawing>
      </w:r>
    </w:p>
    <w:p w:rsidR="00732F33" w:rsidRDefault="009A40BF" w:rsidP="00857E23">
      <w:pPr>
        <w:spacing w:line="240" w:lineRule="auto"/>
        <w:rPr>
          <w:rFonts w:asciiTheme="majorBidi" w:hAnsiTheme="majorBidi" w:cstheme="majorBidi"/>
          <w:sz w:val="22"/>
          <w:szCs w:val="22"/>
        </w:rPr>
      </w:pPr>
      <w:r w:rsidRPr="00C329A3">
        <w:rPr>
          <w:rFonts w:asciiTheme="majorBidi" w:hAnsiTheme="majorBidi" w:cstheme="majorBidi"/>
          <w:sz w:val="24"/>
          <w:szCs w:val="24"/>
        </w:rPr>
        <w:t xml:space="preserve">         </w:t>
      </w:r>
      <w:r w:rsidR="00E2576E">
        <w:rPr>
          <w:rFonts w:asciiTheme="majorBidi" w:hAnsiTheme="majorBidi" w:cstheme="majorBidi"/>
          <w:sz w:val="24"/>
          <w:szCs w:val="24"/>
        </w:rPr>
        <w:t xml:space="preserve">     </w:t>
      </w:r>
      <w:r w:rsidR="00A258F1">
        <w:rPr>
          <w:rFonts w:asciiTheme="majorBidi" w:hAnsiTheme="majorBidi" w:cstheme="majorBidi"/>
          <w:sz w:val="24"/>
          <w:szCs w:val="24"/>
        </w:rPr>
        <w:t xml:space="preserve"> </w:t>
      </w:r>
      <w:r w:rsidR="00E2576E">
        <w:rPr>
          <w:rFonts w:asciiTheme="majorBidi" w:hAnsiTheme="majorBidi" w:cstheme="majorBidi"/>
          <w:sz w:val="24"/>
          <w:szCs w:val="24"/>
        </w:rPr>
        <w:t xml:space="preserve">   </w:t>
      </w:r>
      <w:r w:rsidRPr="00E2576E">
        <w:rPr>
          <w:rFonts w:asciiTheme="majorBidi" w:hAnsiTheme="majorBidi" w:cstheme="majorBidi"/>
          <w:b/>
          <w:bCs/>
          <w:sz w:val="22"/>
          <w:szCs w:val="22"/>
        </w:rPr>
        <w:t xml:space="preserve">Figure </w:t>
      </w:r>
      <w:r w:rsidR="002145CF">
        <w:rPr>
          <w:rFonts w:asciiTheme="majorBidi" w:hAnsiTheme="majorBidi" w:cstheme="majorBidi"/>
          <w:b/>
          <w:bCs/>
          <w:sz w:val="22"/>
          <w:szCs w:val="22"/>
        </w:rPr>
        <w:t>4</w:t>
      </w:r>
      <w:r w:rsidRPr="00E2576E">
        <w:rPr>
          <w:rFonts w:asciiTheme="majorBidi" w:hAnsiTheme="majorBidi" w:cstheme="majorBidi"/>
          <w:b/>
          <w:bCs/>
          <w:sz w:val="22"/>
          <w:szCs w:val="22"/>
        </w:rPr>
        <w:t xml:space="preserve"> </w:t>
      </w:r>
      <w:r w:rsidRPr="00E2576E">
        <w:rPr>
          <w:rFonts w:asciiTheme="majorBidi" w:hAnsiTheme="majorBidi" w:cstheme="majorBidi"/>
          <w:sz w:val="22"/>
          <w:szCs w:val="22"/>
        </w:rPr>
        <w:t xml:space="preserve">Spatial Distribution of HI for Adults and Children in </w:t>
      </w:r>
      <w:r w:rsidRPr="007C62B9">
        <w:rPr>
          <w:rFonts w:asciiTheme="majorBidi" w:hAnsiTheme="majorBidi" w:cstheme="majorBidi"/>
          <w:noProof/>
          <w:sz w:val="22"/>
          <w:szCs w:val="22"/>
        </w:rPr>
        <w:t>Soil of</w:t>
      </w:r>
      <w:r w:rsidRPr="00E2576E">
        <w:rPr>
          <w:rFonts w:asciiTheme="majorBidi" w:hAnsiTheme="majorBidi" w:cstheme="majorBidi"/>
          <w:sz w:val="22"/>
          <w:szCs w:val="22"/>
        </w:rPr>
        <w:t xml:space="preserve"> Study Area.</w:t>
      </w:r>
    </w:p>
    <w:p w:rsidR="00857E23" w:rsidRPr="00857E23" w:rsidRDefault="00857E23" w:rsidP="00857E23">
      <w:pPr>
        <w:spacing w:line="240" w:lineRule="auto"/>
        <w:rPr>
          <w:rFonts w:asciiTheme="majorBidi" w:hAnsiTheme="majorBidi" w:cstheme="majorBidi"/>
          <w:sz w:val="22"/>
          <w:szCs w:val="22"/>
        </w:rPr>
      </w:pPr>
    </w:p>
    <w:p w:rsidR="007D17C9" w:rsidRPr="00A41163" w:rsidRDefault="00D3031E" w:rsidP="00A41163">
      <w:pPr>
        <w:spacing w:line="240" w:lineRule="auto"/>
        <w:rPr>
          <w:rFonts w:asciiTheme="majorBidi" w:hAnsiTheme="majorBidi" w:cstheme="majorBidi"/>
          <w:b/>
          <w:bCs/>
          <w:sz w:val="24"/>
          <w:szCs w:val="24"/>
        </w:rPr>
      </w:pPr>
      <w:r w:rsidRPr="00A41163">
        <w:rPr>
          <w:rFonts w:asciiTheme="majorBidi" w:hAnsiTheme="majorBidi" w:cstheme="majorBidi"/>
          <w:b/>
          <w:bCs/>
          <w:sz w:val="24"/>
          <w:szCs w:val="24"/>
        </w:rPr>
        <w:t>5.</w:t>
      </w:r>
      <w:r w:rsidR="007D17C9" w:rsidRPr="00A41163">
        <w:rPr>
          <w:rFonts w:asciiTheme="majorBidi" w:hAnsiTheme="majorBidi" w:cstheme="majorBidi"/>
          <w:b/>
          <w:bCs/>
          <w:sz w:val="24"/>
          <w:szCs w:val="24"/>
        </w:rPr>
        <w:t xml:space="preserve"> Conclusion:</w:t>
      </w:r>
    </w:p>
    <w:p w:rsidR="00CD1147" w:rsidRPr="00C329A3" w:rsidRDefault="007D17C9" w:rsidP="00C329A3">
      <w:pPr>
        <w:spacing w:line="240" w:lineRule="auto"/>
        <w:jc w:val="both"/>
        <w:rPr>
          <w:rFonts w:asciiTheme="majorBidi" w:hAnsiTheme="majorBidi" w:cstheme="majorBidi"/>
          <w:sz w:val="24"/>
          <w:szCs w:val="24"/>
        </w:rPr>
      </w:pPr>
      <w:r w:rsidRPr="00C329A3">
        <w:rPr>
          <w:rFonts w:asciiTheme="majorBidi" w:hAnsiTheme="majorBidi" w:cstheme="majorBidi"/>
          <w:b/>
          <w:bCs/>
          <w:sz w:val="24"/>
          <w:szCs w:val="24"/>
        </w:rPr>
        <w:t xml:space="preserve">     </w:t>
      </w:r>
      <w:r w:rsidRPr="00C329A3">
        <w:rPr>
          <w:rFonts w:asciiTheme="majorBidi" w:hAnsiTheme="majorBidi" w:cstheme="majorBidi"/>
          <w:sz w:val="24"/>
          <w:szCs w:val="24"/>
        </w:rPr>
        <w:t>In</w:t>
      </w:r>
      <w:r w:rsidR="007C62B9">
        <w:rPr>
          <w:rFonts w:asciiTheme="majorBidi" w:hAnsiTheme="majorBidi" w:cstheme="majorBidi"/>
          <w:sz w:val="24"/>
          <w:szCs w:val="24"/>
        </w:rPr>
        <w:t xml:space="preserve"> a</w:t>
      </w:r>
      <w:r w:rsidRPr="00C329A3">
        <w:rPr>
          <w:rFonts w:asciiTheme="majorBidi" w:hAnsiTheme="majorBidi" w:cstheme="majorBidi"/>
          <w:sz w:val="24"/>
          <w:szCs w:val="24"/>
        </w:rPr>
        <w:t xml:space="preserve"> </w:t>
      </w:r>
      <w:r w:rsidR="007C62B9" w:rsidRPr="007C62B9">
        <w:rPr>
          <w:rFonts w:asciiTheme="majorBidi" w:hAnsiTheme="majorBidi" w:cstheme="majorBidi"/>
          <w:noProof/>
          <w:sz w:val="24"/>
          <w:szCs w:val="24"/>
        </w:rPr>
        <w:t>c</w:t>
      </w:r>
      <w:r w:rsidR="00424B5C" w:rsidRPr="007C62B9">
        <w:rPr>
          <w:rFonts w:asciiTheme="majorBidi" w:hAnsiTheme="majorBidi" w:cstheme="majorBidi"/>
          <w:noProof/>
          <w:sz w:val="24"/>
          <w:szCs w:val="24"/>
        </w:rPr>
        <w:t>urrent</w:t>
      </w:r>
      <w:r w:rsidR="00B27448" w:rsidRPr="00C329A3">
        <w:rPr>
          <w:rFonts w:asciiTheme="majorBidi" w:hAnsiTheme="majorBidi" w:cstheme="majorBidi"/>
          <w:sz w:val="24"/>
          <w:szCs w:val="24"/>
        </w:rPr>
        <w:t xml:space="preserve"> </w:t>
      </w:r>
      <w:r w:rsidR="007C62B9">
        <w:rPr>
          <w:rFonts w:asciiTheme="majorBidi" w:hAnsiTheme="majorBidi" w:cstheme="majorBidi"/>
          <w:sz w:val="24"/>
          <w:szCs w:val="24"/>
        </w:rPr>
        <w:t xml:space="preserve">study </w:t>
      </w:r>
      <w:r w:rsidRPr="00C329A3">
        <w:rPr>
          <w:rFonts w:asciiTheme="majorBidi" w:hAnsiTheme="majorBidi" w:cstheme="majorBidi"/>
          <w:sz w:val="24"/>
          <w:szCs w:val="24"/>
        </w:rPr>
        <w:t>several environmental indices were used to</w:t>
      </w:r>
      <w:r w:rsidR="000E0F12">
        <w:rPr>
          <w:rFonts w:asciiTheme="majorBidi" w:hAnsiTheme="majorBidi" w:cstheme="majorBidi"/>
          <w:sz w:val="24"/>
          <w:szCs w:val="24"/>
        </w:rPr>
        <w:t xml:space="preserve"> the</w:t>
      </w:r>
      <w:r w:rsidRPr="00C329A3">
        <w:rPr>
          <w:rFonts w:asciiTheme="majorBidi" w:hAnsiTheme="majorBidi" w:cstheme="majorBidi"/>
          <w:sz w:val="24"/>
          <w:szCs w:val="24"/>
        </w:rPr>
        <w:t xml:space="preserve"> </w:t>
      </w:r>
      <w:r w:rsidRPr="000E0F12">
        <w:rPr>
          <w:rFonts w:asciiTheme="majorBidi" w:hAnsiTheme="majorBidi" w:cstheme="majorBidi"/>
          <w:noProof/>
          <w:sz w:val="24"/>
          <w:szCs w:val="24"/>
        </w:rPr>
        <w:t>assessment</w:t>
      </w:r>
      <w:r w:rsidRPr="00C329A3">
        <w:rPr>
          <w:rFonts w:asciiTheme="majorBidi" w:hAnsiTheme="majorBidi" w:cstheme="majorBidi"/>
          <w:sz w:val="24"/>
          <w:szCs w:val="24"/>
        </w:rPr>
        <w:t xml:space="preserve"> of heavy metals contaminations and determ</w:t>
      </w:r>
      <w:r w:rsidR="00B27448" w:rsidRPr="00C329A3">
        <w:rPr>
          <w:rFonts w:asciiTheme="majorBidi" w:hAnsiTheme="majorBidi" w:cstheme="majorBidi"/>
          <w:sz w:val="24"/>
          <w:szCs w:val="24"/>
        </w:rPr>
        <w:t>ine the environmental quality is soil of study area</w:t>
      </w:r>
      <w:r w:rsidRPr="00C329A3">
        <w:rPr>
          <w:rFonts w:asciiTheme="majorBidi" w:hAnsiTheme="majorBidi" w:cstheme="majorBidi"/>
          <w:sz w:val="24"/>
          <w:szCs w:val="24"/>
        </w:rPr>
        <w:t>, the results of this study summ</w:t>
      </w:r>
      <w:r w:rsidR="006D7660" w:rsidRPr="00C329A3">
        <w:rPr>
          <w:rFonts w:asciiTheme="majorBidi" w:hAnsiTheme="majorBidi" w:cstheme="majorBidi"/>
          <w:sz w:val="24"/>
          <w:szCs w:val="24"/>
        </w:rPr>
        <w:t>a</w:t>
      </w:r>
      <w:r w:rsidRPr="00C329A3">
        <w:rPr>
          <w:rFonts w:asciiTheme="majorBidi" w:hAnsiTheme="majorBidi" w:cstheme="majorBidi"/>
          <w:sz w:val="24"/>
          <w:szCs w:val="24"/>
        </w:rPr>
        <w:t xml:space="preserve">rized as follows: </w:t>
      </w:r>
    </w:p>
    <w:p w:rsidR="007D17C9" w:rsidRPr="00C329A3" w:rsidRDefault="007D17C9" w:rsidP="00C329A3">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1) </w:t>
      </w:r>
      <w:r w:rsidR="00D0242D" w:rsidRPr="00C329A3">
        <w:rPr>
          <w:rFonts w:asciiTheme="majorBidi" w:hAnsiTheme="majorBidi" w:cstheme="majorBidi"/>
          <w:sz w:val="24"/>
          <w:szCs w:val="24"/>
        </w:rPr>
        <w:t>T</w:t>
      </w:r>
      <w:r w:rsidR="00223F0A" w:rsidRPr="00C329A3">
        <w:rPr>
          <w:rFonts w:asciiTheme="majorBidi" w:hAnsiTheme="majorBidi" w:cstheme="majorBidi"/>
          <w:sz w:val="24"/>
          <w:szCs w:val="24"/>
        </w:rPr>
        <w:t xml:space="preserve">he abundance trend of </w:t>
      </w:r>
      <w:r w:rsidR="00DE1C70">
        <w:rPr>
          <w:rFonts w:asciiTheme="majorBidi" w:hAnsiTheme="majorBidi" w:cstheme="majorBidi"/>
          <w:sz w:val="24"/>
          <w:szCs w:val="24"/>
        </w:rPr>
        <w:t>median</w:t>
      </w:r>
      <w:r w:rsidR="00223F0A" w:rsidRPr="00C329A3">
        <w:rPr>
          <w:rFonts w:asciiTheme="majorBidi" w:hAnsiTheme="majorBidi" w:cstheme="majorBidi"/>
          <w:sz w:val="24"/>
          <w:szCs w:val="24"/>
        </w:rPr>
        <w:t xml:space="preserve"> concentrations of heavy metals</w:t>
      </w:r>
      <w:r w:rsidR="005213D9" w:rsidRPr="00C329A3">
        <w:rPr>
          <w:rFonts w:asciiTheme="majorBidi" w:hAnsiTheme="majorBidi" w:cstheme="majorBidi"/>
          <w:sz w:val="24"/>
          <w:szCs w:val="24"/>
        </w:rPr>
        <w:t xml:space="preserve"> increasing</w:t>
      </w:r>
      <w:r w:rsidR="00223F0A" w:rsidRPr="00C329A3">
        <w:rPr>
          <w:rFonts w:asciiTheme="majorBidi" w:hAnsiTheme="majorBidi" w:cstheme="majorBidi"/>
          <w:sz w:val="24"/>
          <w:szCs w:val="24"/>
        </w:rPr>
        <w:t xml:space="preserve"> in order of Ni&gt; Cr&gt; Zn&gt; Cu&gt; Co&gt; Pb&gt; As&gt; Cd. The concentrations of As, Cd, and Ni </w:t>
      </w:r>
      <w:r w:rsidR="00DE1C70">
        <w:rPr>
          <w:rFonts w:asciiTheme="majorBidi" w:hAnsiTheme="majorBidi" w:cstheme="majorBidi"/>
          <w:sz w:val="24"/>
          <w:szCs w:val="24"/>
        </w:rPr>
        <w:t>highest</w:t>
      </w:r>
      <w:r w:rsidR="00223F0A" w:rsidRPr="00C329A3">
        <w:rPr>
          <w:rFonts w:asciiTheme="majorBidi" w:hAnsiTheme="majorBidi" w:cstheme="majorBidi"/>
          <w:sz w:val="24"/>
          <w:szCs w:val="24"/>
        </w:rPr>
        <w:t xml:space="preserve"> th</w:t>
      </w:r>
      <w:r w:rsidR="00DE1C70">
        <w:rPr>
          <w:rFonts w:asciiTheme="majorBidi" w:hAnsiTheme="majorBidi" w:cstheme="majorBidi"/>
          <w:sz w:val="24"/>
          <w:szCs w:val="24"/>
        </w:rPr>
        <w:t>an</w:t>
      </w:r>
      <w:r w:rsidR="00223F0A" w:rsidRPr="00C329A3">
        <w:rPr>
          <w:rFonts w:asciiTheme="majorBidi" w:hAnsiTheme="majorBidi" w:cstheme="majorBidi"/>
          <w:sz w:val="24"/>
          <w:szCs w:val="24"/>
        </w:rPr>
        <w:t xml:space="preserve"> geochemical background values</w:t>
      </w:r>
      <w:r w:rsidR="005213D9" w:rsidRPr="00C329A3">
        <w:rPr>
          <w:rFonts w:asciiTheme="majorBidi" w:hAnsiTheme="majorBidi" w:cstheme="majorBidi"/>
          <w:sz w:val="24"/>
          <w:szCs w:val="24"/>
        </w:rPr>
        <w:t xml:space="preserve"> at all sites</w:t>
      </w:r>
      <w:r w:rsidR="00223F0A" w:rsidRPr="00C329A3">
        <w:rPr>
          <w:rFonts w:asciiTheme="majorBidi" w:hAnsiTheme="majorBidi" w:cstheme="majorBidi"/>
          <w:sz w:val="24"/>
          <w:szCs w:val="24"/>
        </w:rPr>
        <w:t>, whereas concen</w:t>
      </w:r>
      <w:r w:rsidR="005213D9" w:rsidRPr="00C329A3">
        <w:rPr>
          <w:rFonts w:asciiTheme="majorBidi" w:hAnsiTheme="majorBidi" w:cstheme="majorBidi"/>
          <w:sz w:val="24"/>
          <w:szCs w:val="24"/>
        </w:rPr>
        <w:t>trations of Pb, Cr, Co, and Zn are lower than</w:t>
      </w:r>
      <w:r w:rsidR="00223F0A" w:rsidRPr="00C329A3">
        <w:rPr>
          <w:rFonts w:asciiTheme="majorBidi" w:hAnsiTheme="majorBidi" w:cstheme="majorBidi"/>
          <w:sz w:val="24"/>
          <w:szCs w:val="24"/>
        </w:rPr>
        <w:t xml:space="preserve"> the</w:t>
      </w:r>
      <w:r w:rsidR="005213D9" w:rsidRPr="00C329A3">
        <w:rPr>
          <w:rFonts w:asciiTheme="majorBidi" w:hAnsiTheme="majorBidi" w:cstheme="majorBidi"/>
          <w:sz w:val="24"/>
          <w:szCs w:val="24"/>
        </w:rPr>
        <w:t xml:space="preserve"> geochemical background values, except Zn at S7 exceeded the same </w:t>
      </w:r>
      <w:r w:rsidR="00DE1C70">
        <w:rPr>
          <w:rFonts w:asciiTheme="majorBidi" w:hAnsiTheme="majorBidi" w:cstheme="majorBidi"/>
          <w:sz w:val="24"/>
          <w:szCs w:val="24"/>
        </w:rPr>
        <w:t xml:space="preserve">background </w:t>
      </w:r>
      <w:r w:rsidR="005213D9" w:rsidRPr="00C329A3">
        <w:rPr>
          <w:rFonts w:asciiTheme="majorBidi" w:hAnsiTheme="majorBidi" w:cstheme="majorBidi"/>
          <w:sz w:val="24"/>
          <w:szCs w:val="24"/>
        </w:rPr>
        <w:t>value.</w:t>
      </w:r>
      <w:r w:rsidR="00223F0A" w:rsidRPr="00C329A3">
        <w:rPr>
          <w:rFonts w:asciiTheme="majorBidi" w:hAnsiTheme="majorBidi" w:cstheme="majorBidi"/>
          <w:sz w:val="24"/>
          <w:szCs w:val="24"/>
        </w:rPr>
        <w:t xml:space="preserve"> </w:t>
      </w:r>
      <w:r w:rsidR="005213D9" w:rsidRPr="00C329A3">
        <w:rPr>
          <w:rFonts w:asciiTheme="majorBidi" w:hAnsiTheme="majorBidi" w:cstheme="majorBidi"/>
          <w:sz w:val="24"/>
          <w:szCs w:val="24"/>
        </w:rPr>
        <w:t xml:space="preserve">The </w:t>
      </w:r>
      <w:r w:rsidR="00223F0A" w:rsidRPr="00C329A3">
        <w:rPr>
          <w:rFonts w:asciiTheme="majorBidi" w:hAnsiTheme="majorBidi" w:cstheme="majorBidi"/>
          <w:sz w:val="24"/>
          <w:szCs w:val="24"/>
        </w:rPr>
        <w:t>comparison</w:t>
      </w:r>
      <w:r w:rsidR="005213D9" w:rsidRPr="00C329A3">
        <w:rPr>
          <w:rFonts w:asciiTheme="majorBidi" w:hAnsiTheme="majorBidi" w:cstheme="majorBidi"/>
          <w:sz w:val="24"/>
          <w:szCs w:val="24"/>
        </w:rPr>
        <w:t xml:space="preserve"> of heavy metals concentration</w:t>
      </w:r>
      <w:r w:rsidR="00223F0A" w:rsidRPr="00C329A3">
        <w:rPr>
          <w:rFonts w:asciiTheme="majorBidi" w:hAnsiTheme="majorBidi" w:cstheme="majorBidi"/>
          <w:sz w:val="24"/>
          <w:szCs w:val="24"/>
        </w:rPr>
        <w:t xml:space="preserve"> with </w:t>
      </w:r>
      <w:r w:rsidR="005213D9" w:rsidRPr="00C329A3">
        <w:rPr>
          <w:rFonts w:asciiTheme="majorBidi" w:hAnsiTheme="majorBidi" w:cstheme="majorBidi"/>
          <w:sz w:val="24"/>
          <w:szCs w:val="24"/>
        </w:rPr>
        <w:t>U.S. SQGs, where all sites non-polluted with</w:t>
      </w:r>
      <w:r w:rsidR="00223F0A" w:rsidRPr="00C329A3">
        <w:rPr>
          <w:rFonts w:asciiTheme="majorBidi" w:hAnsiTheme="majorBidi" w:cstheme="majorBidi"/>
          <w:sz w:val="24"/>
          <w:szCs w:val="24"/>
        </w:rPr>
        <w:t xml:space="preserve"> Pb, C</w:t>
      </w:r>
      <w:r w:rsidR="005213D9" w:rsidRPr="00C329A3">
        <w:rPr>
          <w:rFonts w:asciiTheme="majorBidi" w:hAnsiTheme="majorBidi" w:cstheme="majorBidi"/>
          <w:sz w:val="24"/>
          <w:szCs w:val="24"/>
        </w:rPr>
        <w:t>d, and Zn</w:t>
      </w:r>
      <w:r w:rsidR="00223F0A" w:rsidRPr="00C329A3">
        <w:rPr>
          <w:rFonts w:asciiTheme="majorBidi" w:hAnsiTheme="majorBidi" w:cstheme="majorBidi"/>
          <w:sz w:val="24"/>
          <w:szCs w:val="24"/>
        </w:rPr>
        <w:t>,</w:t>
      </w:r>
      <w:r w:rsidR="005213D9" w:rsidRPr="00C329A3">
        <w:rPr>
          <w:rFonts w:asciiTheme="majorBidi" w:hAnsiTheme="majorBidi" w:cstheme="majorBidi"/>
          <w:sz w:val="24"/>
          <w:szCs w:val="24"/>
        </w:rPr>
        <w:t xml:space="preserve"> and polluted heavily by Ni</w:t>
      </w:r>
      <w:r w:rsidR="00C66AE0" w:rsidRPr="00C329A3">
        <w:rPr>
          <w:rFonts w:asciiTheme="majorBidi" w:hAnsiTheme="majorBidi" w:cstheme="majorBidi"/>
          <w:sz w:val="24"/>
          <w:szCs w:val="24"/>
        </w:rPr>
        <w:t>,</w:t>
      </w:r>
      <w:r w:rsidR="00223F0A" w:rsidRPr="00C329A3">
        <w:rPr>
          <w:rFonts w:asciiTheme="majorBidi" w:hAnsiTheme="majorBidi" w:cstheme="majorBidi"/>
          <w:sz w:val="24"/>
          <w:szCs w:val="24"/>
        </w:rPr>
        <w:t xml:space="preserve"> whereas </w:t>
      </w:r>
      <w:r w:rsidR="00C66AE0" w:rsidRPr="00C329A3">
        <w:rPr>
          <w:rFonts w:asciiTheme="majorBidi" w:hAnsiTheme="majorBidi" w:cstheme="majorBidi"/>
          <w:sz w:val="24"/>
          <w:szCs w:val="24"/>
        </w:rPr>
        <w:t>S6, S7, and S8 are polluted moderately with As and Cu</w:t>
      </w:r>
      <w:r w:rsidR="00223F0A" w:rsidRPr="00C329A3">
        <w:rPr>
          <w:rFonts w:asciiTheme="majorBidi" w:hAnsiTheme="majorBidi" w:cstheme="majorBidi"/>
          <w:sz w:val="24"/>
          <w:szCs w:val="24"/>
        </w:rPr>
        <w:t>,</w:t>
      </w:r>
      <w:r w:rsidR="00C66AE0" w:rsidRPr="00C329A3">
        <w:rPr>
          <w:rFonts w:asciiTheme="majorBidi" w:hAnsiTheme="majorBidi" w:cstheme="majorBidi"/>
          <w:sz w:val="24"/>
          <w:szCs w:val="24"/>
        </w:rPr>
        <w:t xml:space="preserve"> but polluted heavily by Cr. The Concentrations of As, Pb, Cd, and Cu are lower</w:t>
      </w:r>
      <w:r w:rsidR="00223F0A" w:rsidRPr="00C329A3">
        <w:rPr>
          <w:rFonts w:asciiTheme="majorBidi" w:hAnsiTheme="majorBidi" w:cstheme="majorBidi"/>
          <w:sz w:val="24"/>
          <w:szCs w:val="24"/>
        </w:rPr>
        <w:t xml:space="preserve"> than EPA Ecological Screening values, and</w:t>
      </w:r>
      <w:r w:rsidR="00C66AE0" w:rsidRPr="00C329A3">
        <w:rPr>
          <w:rFonts w:asciiTheme="majorBidi" w:hAnsiTheme="majorBidi" w:cstheme="majorBidi"/>
          <w:sz w:val="24"/>
          <w:szCs w:val="24"/>
        </w:rPr>
        <w:t xml:space="preserve"> concentrations of</w:t>
      </w:r>
      <w:r w:rsidR="00223F0A" w:rsidRPr="00C329A3">
        <w:rPr>
          <w:rFonts w:asciiTheme="majorBidi" w:hAnsiTheme="majorBidi" w:cstheme="majorBidi"/>
          <w:sz w:val="24"/>
          <w:szCs w:val="24"/>
        </w:rPr>
        <w:t xml:space="preserve"> Cr, Co, Ni, and Zn</w:t>
      </w:r>
      <w:r w:rsidR="00C66AE0" w:rsidRPr="00C329A3">
        <w:rPr>
          <w:rFonts w:asciiTheme="majorBidi" w:hAnsiTheme="majorBidi" w:cstheme="majorBidi"/>
          <w:sz w:val="24"/>
          <w:szCs w:val="24"/>
        </w:rPr>
        <w:t xml:space="preserve"> are</w:t>
      </w:r>
      <w:r w:rsidR="00223F0A" w:rsidRPr="00C329A3">
        <w:rPr>
          <w:rFonts w:asciiTheme="majorBidi" w:hAnsiTheme="majorBidi" w:cstheme="majorBidi"/>
          <w:sz w:val="24"/>
          <w:szCs w:val="24"/>
        </w:rPr>
        <w:t xml:space="preserve"> </w:t>
      </w:r>
      <w:r w:rsidR="00C66AE0" w:rsidRPr="00C329A3">
        <w:rPr>
          <w:rFonts w:asciiTheme="majorBidi" w:hAnsiTheme="majorBidi" w:cstheme="majorBidi"/>
          <w:sz w:val="24"/>
          <w:szCs w:val="24"/>
        </w:rPr>
        <w:t xml:space="preserve">higher </w:t>
      </w:r>
      <w:r w:rsidR="00223F0A" w:rsidRPr="00C329A3">
        <w:rPr>
          <w:rFonts w:asciiTheme="majorBidi" w:hAnsiTheme="majorBidi" w:cstheme="majorBidi"/>
          <w:sz w:val="24"/>
          <w:szCs w:val="24"/>
        </w:rPr>
        <w:t>than EPA Ecological Screening values</w:t>
      </w:r>
      <w:r w:rsidR="00C66AE0" w:rsidRPr="00C329A3">
        <w:rPr>
          <w:rFonts w:asciiTheme="majorBidi" w:hAnsiTheme="majorBidi" w:cstheme="majorBidi"/>
          <w:sz w:val="24"/>
          <w:szCs w:val="24"/>
        </w:rPr>
        <w:t xml:space="preserve"> at all sites, except Zn at S1, S2, and S4 is lower than the same value</w:t>
      </w:r>
      <w:r w:rsidR="00223F0A" w:rsidRPr="00C329A3">
        <w:rPr>
          <w:rFonts w:asciiTheme="majorBidi" w:hAnsiTheme="majorBidi" w:cstheme="majorBidi"/>
          <w:sz w:val="24"/>
          <w:szCs w:val="24"/>
        </w:rPr>
        <w:t xml:space="preserve">. </w:t>
      </w:r>
      <w:r w:rsidR="00C66AE0" w:rsidRPr="00C329A3">
        <w:rPr>
          <w:rFonts w:asciiTheme="majorBidi" w:hAnsiTheme="majorBidi" w:cstheme="majorBidi"/>
          <w:sz w:val="24"/>
          <w:szCs w:val="24"/>
        </w:rPr>
        <w:t>The concentrations of As, Pb, Cd, Cr, Co, Cu, and Zn at all sites lower than WHO guidelines, except Ni its concentrations higher than the same guidelines.</w:t>
      </w:r>
      <w:r w:rsidR="00CA2EF8" w:rsidRPr="00C329A3">
        <w:rPr>
          <w:rFonts w:asciiTheme="majorBidi" w:hAnsiTheme="majorBidi" w:cstheme="majorBidi"/>
          <w:sz w:val="24"/>
          <w:szCs w:val="24"/>
        </w:rPr>
        <w:t xml:space="preserve"> </w:t>
      </w:r>
    </w:p>
    <w:p w:rsidR="00A12D3A" w:rsidRPr="00C329A3" w:rsidRDefault="00434CF0" w:rsidP="00FF7AAE">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2) </w:t>
      </w:r>
      <w:r w:rsidR="00AB0804">
        <w:rPr>
          <w:rFonts w:asciiTheme="majorBidi" w:hAnsiTheme="majorBidi" w:cstheme="majorBidi"/>
          <w:sz w:val="24"/>
          <w:szCs w:val="24"/>
        </w:rPr>
        <w:t xml:space="preserve">the </w:t>
      </w:r>
      <w:r w:rsidRPr="00C329A3">
        <w:rPr>
          <w:rFonts w:asciiTheme="majorBidi" w:hAnsiTheme="majorBidi" w:cstheme="majorBidi"/>
          <w:sz w:val="24"/>
          <w:szCs w:val="24"/>
        </w:rPr>
        <w:t>Pearson’s correlation</w:t>
      </w:r>
      <w:r w:rsidR="00AB0804">
        <w:rPr>
          <w:rFonts w:asciiTheme="majorBidi" w:hAnsiTheme="majorBidi" w:cstheme="majorBidi"/>
          <w:sz w:val="24"/>
          <w:szCs w:val="24"/>
        </w:rPr>
        <w:t xml:space="preserve"> coefficient</w:t>
      </w:r>
      <w:r w:rsidRPr="00C329A3">
        <w:rPr>
          <w:rFonts w:asciiTheme="majorBidi" w:hAnsiTheme="majorBidi" w:cstheme="majorBidi"/>
          <w:sz w:val="24"/>
          <w:szCs w:val="24"/>
        </w:rPr>
        <w:t xml:space="preserve"> analysis </w:t>
      </w:r>
      <w:r w:rsidR="00AB0804">
        <w:rPr>
          <w:rFonts w:asciiTheme="majorBidi" w:hAnsiTheme="majorBidi" w:cstheme="majorBidi"/>
          <w:sz w:val="24"/>
          <w:szCs w:val="24"/>
        </w:rPr>
        <w:t>showed</w:t>
      </w:r>
      <w:r w:rsidRPr="00C329A3">
        <w:rPr>
          <w:rFonts w:asciiTheme="majorBidi" w:hAnsiTheme="majorBidi" w:cstheme="majorBidi"/>
          <w:sz w:val="24"/>
          <w:szCs w:val="24"/>
        </w:rPr>
        <w:t xml:space="preserve"> there </w:t>
      </w:r>
      <w:r w:rsidR="00A56A9D">
        <w:rPr>
          <w:rFonts w:asciiTheme="majorBidi" w:hAnsiTheme="majorBidi" w:cstheme="majorBidi"/>
          <w:noProof/>
          <w:sz w:val="24"/>
          <w:szCs w:val="24"/>
        </w:rPr>
        <w:t>are</w:t>
      </w:r>
      <w:r w:rsidRPr="00C329A3">
        <w:rPr>
          <w:rFonts w:asciiTheme="majorBidi" w:hAnsiTheme="majorBidi" w:cstheme="majorBidi"/>
          <w:sz w:val="24"/>
          <w:szCs w:val="24"/>
        </w:rPr>
        <w:t xml:space="preserve"> strong positive </w:t>
      </w:r>
      <w:r w:rsidR="00AB0804">
        <w:rPr>
          <w:rFonts w:asciiTheme="majorBidi" w:hAnsiTheme="majorBidi" w:cstheme="majorBidi"/>
          <w:sz w:val="24"/>
          <w:szCs w:val="24"/>
        </w:rPr>
        <w:t>relation</w:t>
      </w:r>
      <w:r w:rsidR="008E2CE8">
        <w:rPr>
          <w:rFonts w:asciiTheme="majorBidi" w:hAnsiTheme="majorBidi" w:cstheme="majorBidi"/>
          <w:sz w:val="24"/>
          <w:szCs w:val="24"/>
        </w:rPr>
        <w:t>s</w:t>
      </w:r>
      <w:r w:rsidRPr="00C329A3">
        <w:rPr>
          <w:rFonts w:asciiTheme="majorBidi" w:hAnsiTheme="majorBidi" w:cstheme="majorBidi"/>
          <w:sz w:val="24"/>
          <w:szCs w:val="24"/>
        </w:rPr>
        <w:t xml:space="preserve"> among Pb, Co, Cu, Zn, Cr, and Ni indicates these metals have similar origins mostly anthropogenic,</w:t>
      </w:r>
      <w:r w:rsidR="0030795C" w:rsidRPr="00C329A3">
        <w:rPr>
          <w:rFonts w:asciiTheme="majorBidi" w:hAnsiTheme="majorBidi" w:cstheme="majorBidi"/>
          <w:sz w:val="24"/>
          <w:szCs w:val="24"/>
        </w:rPr>
        <w:t xml:space="preserve"> while the </w:t>
      </w:r>
      <w:r w:rsidR="00AB0804" w:rsidRPr="00C329A3">
        <w:rPr>
          <w:rFonts w:asciiTheme="majorBidi" w:hAnsiTheme="majorBidi" w:cstheme="majorBidi"/>
          <w:sz w:val="24"/>
          <w:szCs w:val="24"/>
        </w:rPr>
        <w:t xml:space="preserve">weak </w:t>
      </w:r>
      <w:r w:rsidR="0030795C" w:rsidRPr="00C329A3">
        <w:rPr>
          <w:rFonts w:asciiTheme="majorBidi" w:hAnsiTheme="majorBidi" w:cstheme="majorBidi"/>
          <w:sz w:val="24"/>
          <w:szCs w:val="24"/>
        </w:rPr>
        <w:t>positive</w:t>
      </w:r>
      <w:r w:rsidR="00AB0804">
        <w:rPr>
          <w:rFonts w:asciiTheme="majorBidi" w:hAnsiTheme="majorBidi" w:cstheme="majorBidi"/>
          <w:sz w:val="24"/>
          <w:szCs w:val="24"/>
        </w:rPr>
        <w:t xml:space="preserve"> relation</w:t>
      </w:r>
      <w:r w:rsidR="0030795C" w:rsidRPr="00C329A3">
        <w:rPr>
          <w:rFonts w:asciiTheme="majorBidi" w:hAnsiTheme="majorBidi" w:cstheme="majorBidi"/>
          <w:sz w:val="24"/>
          <w:szCs w:val="24"/>
        </w:rPr>
        <w:t xml:space="preserve"> was</w:t>
      </w:r>
      <w:r w:rsidRPr="00C329A3">
        <w:rPr>
          <w:rFonts w:asciiTheme="majorBidi" w:hAnsiTheme="majorBidi" w:cstheme="majorBidi"/>
          <w:sz w:val="24"/>
          <w:szCs w:val="24"/>
        </w:rPr>
        <w:t xml:space="preserve"> obs</w:t>
      </w:r>
      <w:r w:rsidR="0030795C" w:rsidRPr="00C329A3">
        <w:rPr>
          <w:rFonts w:asciiTheme="majorBidi" w:hAnsiTheme="majorBidi" w:cstheme="majorBidi"/>
          <w:sz w:val="24"/>
          <w:szCs w:val="24"/>
        </w:rPr>
        <w:t xml:space="preserve">erved </w:t>
      </w:r>
      <w:r w:rsidR="00AB0804">
        <w:rPr>
          <w:rFonts w:asciiTheme="majorBidi" w:hAnsiTheme="majorBidi" w:cstheme="majorBidi"/>
          <w:sz w:val="24"/>
          <w:szCs w:val="24"/>
        </w:rPr>
        <w:t>among</w:t>
      </w:r>
      <w:r w:rsidR="0030795C" w:rsidRPr="00C329A3">
        <w:rPr>
          <w:rFonts w:asciiTheme="majorBidi" w:hAnsiTheme="majorBidi" w:cstheme="majorBidi"/>
          <w:sz w:val="24"/>
          <w:szCs w:val="24"/>
        </w:rPr>
        <w:t xml:space="preserve"> (As-Pb), (Cd-Cu), </w:t>
      </w:r>
      <w:r w:rsidRPr="00C329A3">
        <w:rPr>
          <w:rFonts w:asciiTheme="majorBidi" w:hAnsiTheme="majorBidi" w:cstheme="majorBidi"/>
          <w:sz w:val="24"/>
          <w:szCs w:val="24"/>
        </w:rPr>
        <w:t>(Pb-Cd)</w:t>
      </w:r>
      <w:r w:rsidR="0030795C" w:rsidRPr="00C329A3">
        <w:rPr>
          <w:rFonts w:asciiTheme="majorBidi" w:hAnsiTheme="majorBidi" w:cstheme="majorBidi"/>
          <w:sz w:val="24"/>
          <w:szCs w:val="24"/>
        </w:rPr>
        <w:t>, (Cd-Co), and (Pb-Co) which</w:t>
      </w:r>
      <w:r w:rsidRPr="00C329A3">
        <w:rPr>
          <w:rFonts w:asciiTheme="majorBidi" w:hAnsiTheme="majorBidi" w:cstheme="majorBidi"/>
          <w:sz w:val="24"/>
          <w:szCs w:val="24"/>
        </w:rPr>
        <w:t xml:space="preserve"> indicate these met</w:t>
      </w:r>
      <w:r w:rsidR="0030795C" w:rsidRPr="00C329A3">
        <w:rPr>
          <w:rFonts w:asciiTheme="majorBidi" w:hAnsiTheme="majorBidi" w:cstheme="majorBidi"/>
          <w:sz w:val="24"/>
          <w:szCs w:val="24"/>
        </w:rPr>
        <w:t xml:space="preserve">als </w:t>
      </w:r>
      <w:r w:rsidR="00A56A9D">
        <w:rPr>
          <w:rFonts w:asciiTheme="majorBidi" w:hAnsiTheme="majorBidi" w:cstheme="majorBidi"/>
          <w:noProof/>
          <w:sz w:val="24"/>
          <w:szCs w:val="24"/>
        </w:rPr>
        <w:t>co</w:t>
      </w:r>
      <w:r w:rsidR="0058160B" w:rsidRPr="00A56A9D">
        <w:rPr>
          <w:rFonts w:asciiTheme="majorBidi" w:hAnsiTheme="majorBidi" w:cstheme="majorBidi"/>
          <w:noProof/>
          <w:sz w:val="24"/>
          <w:szCs w:val="24"/>
        </w:rPr>
        <w:t>me</w:t>
      </w:r>
      <w:r w:rsidR="0058160B" w:rsidRPr="0058160B">
        <w:rPr>
          <w:rFonts w:asciiTheme="majorBidi" w:hAnsiTheme="majorBidi" w:cstheme="majorBidi"/>
          <w:noProof/>
          <w:sz w:val="24"/>
          <w:szCs w:val="24"/>
        </w:rPr>
        <w:t xml:space="preserve"> from</w:t>
      </w:r>
      <w:r w:rsidR="0030795C" w:rsidRPr="00C329A3">
        <w:rPr>
          <w:rFonts w:asciiTheme="majorBidi" w:hAnsiTheme="majorBidi" w:cstheme="majorBidi"/>
          <w:sz w:val="24"/>
          <w:szCs w:val="24"/>
        </w:rPr>
        <w:t xml:space="preserve"> different origins, also the </w:t>
      </w:r>
      <w:r w:rsidR="00135716" w:rsidRPr="00C329A3">
        <w:rPr>
          <w:rFonts w:asciiTheme="majorBidi" w:hAnsiTheme="majorBidi" w:cstheme="majorBidi"/>
          <w:sz w:val="24"/>
          <w:szCs w:val="24"/>
        </w:rPr>
        <w:t xml:space="preserve">weak </w:t>
      </w:r>
      <w:r w:rsidR="0030795C" w:rsidRPr="00C329A3">
        <w:rPr>
          <w:rFonts w:asciiTheme="majorBidi" w:hAnsiTheme="majorBidi" w:cstheme="majorBidi"/>
          <w:sz w:val="24"/>
          <w:szCs w:val="24"/>
        </w:rPr>
        <w:t xml:space="preserve">negative </w:t>
      </w:r>
      <w:r w:rsidR="00417207" w:rsidRPr="0058160B">
        <w:rPr>
          <w:rFonts w:asciiTheme="majorBidi" w:hAnsiTheme="majorBidi" w:cstheme="majorBidi"/>
          <w:noProof/>
          <w:sz w:val="24"/>
          <w:szCs w:val="24"/>
        </w:rPr>
        <w:t>relation</w:t>
      </w:r>
      <w:r w:rsidR="0058160B">
        <w:rPr>
          <w:rFonts w:asciiTheme="majorBidi" w:hAnsiTheme="majorBidi" w:cstheme="majorBidi"/>
          <w:noProof/>
          <w:sz w:val="24"/>
          <w:szCs w:val="24"/>
        </w:rPr>
        <w:t>ship</w:t>
      </w:r>
      <w:r w:rsidR="0030795C" w:rsidRPr="00C329A3">
        <w:rPr>
          <w:rFonts w:asciiTheme="majorBidi" w:hAnsiTheme="majorBidi" w:cstheme="majorBidi"/>
          <w:sz w:val="24"/>
          <w:szCs w:val="24"/>
        </w:rPr>
        <w:t xml:space="preserve"> </w:t>
      </w:r>
      <w:r w:rsidR="00417207">
        <w:rPr>
          <w:rFonts w:asciiTheme="majorBidi" w:hAnsiTheme="majorBidi" w:cstheme="majorBidi"/>
          <w:sz w:val="24"/>
          <w:szCs w:val="24"/>
        </w:rPr>
        <w:t>found</w:t>
      </w:r>
      <w:r w:rsidR="0030795C" w:rsidRPr="00C329A3">
        <w:rPr>
          <w:rFonts w:asciiTheme="majorBidi" w:hAnsiTheme="majorBidi" w:cstheme="majorBidi"/>
          <w:sz w:val="24"/>
          <w:szCs w:val="24"/>
        </w:rPr>
        <w:t xml:space="preserve"> </w:t>
      </w:r>
      <w:r w:rsidR="00417207">
        <w:rPr>
          <w:rFonts w:asciiTheme="majorBidi" w:hAnsiTheme="majorBidi" w:cstheme="majorBidi"/>
          <w:sz w:val="24"/>
          <w:szCs w:val="24"/>
        </w:rPr>
        <w:t>between</w:t>
      </w:r>
      <w:r w:rsidR="0030795C" w:rsidRPr="00C329A3">
        <w:rPr>
          <w:rFonts w:asciiTheme="majorBidi" w:hAnsiTheme="majorBidi" w:cstheme="majorBidi"/>
          <w:sz w:val="24"/>
          <w:szCs w:val="24"/>
        </w:rPr>
        <w:t xml:space="preserve"> As with Cd, Co, Cu, and Ni.</w:t>
      </w:r>
      <w:r w:rsidR="00292ABB" w:rsidRPr="00C329A3">
        <w:rPr>
          <w:rFonts w:asciiTheme="majorBidi" w:hAnsiTheme="majorBidi" w:cstheme="majorBidi"/>
          <w:sz w:val="24"/>
          <w:szCs w:val="24"/>
        </w:rPr>
        <w:t xml:space="preserve"> </w:t>
      </w:r>
    </w:p>
    <w:p w:rsidR="00383666" w:rsidRPr="00C329A3" w:rsidRDefault="00145E30" w:rsidP="00C329A3">
      <w:pPr>
        <w:spacing w:line="240" w:lineRule="auto"/>
        <w:jc w:val="both"/>
        <w:rPr>
          <w:rFonts w:asciiTheme="majorBidi" w:hAnsiTheme="majorBidi" w:cstheme="majorBidi"/>
          <w:sz w:val="24"/>
          <w:szCs w:val="24"/>
        </w:rPr>
      </w:pPr>
      <w:r>
        <w:rPr>
          <w:rFonts w:asciiTheme="majorBidi" w:hAnsiTheme="majorBidi" w:cstheme="majorBidi"/>
          <w:sz w:val="24"/>
          <w:szCs w:val="24"/>
        </w:rPr>
        <w:t>3</w:t>
      </w:r>
      <w:r w:rsidR="00A12D3A" w:rsidRPr="00C329A3">
        <w:rPr>
          <w:rFonts w:asciiTheme="majorBidi" w:hAnsiTheme="majorBidi" w:cstheme="majorBidi"/>
          <w:sz w:val="24"/>
          <w:szCs w:val="24"/>
        </w:rPr>
        <w:t xml:space="preserve">) The RI showed high risk at all sites, except site (S2), while according to </w:t>
      </w:r>
      <w:r w:rsidR="00292ABB" w:rsidRPr="00C329A3">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00A12D3A" w:rsidRPr="00C329A3">
        <w:rPr>
          <w:rFonts w:asciiTheme="majorBidi" w:hAnsiTheme="majorBidi" w:cstheme="majorBidi"/>
          <w:sz w:val="24"/>
          <w:szCs w:val="24"/>
        </w:rPr>
        <w:t xml:space="preserve"> the soil has been moderately contaminated at sites (S1, S2, and S8), and severely contaminated at other sites.</w:t>
      </w:r>
    </w:p>
    <w:p w:rsidR="00A12D3A" w:rsidRPr="00C329A3" w:rsidRDefault="00C22267" w:rsidP="006652E9">
      <w:pPr>
        <w:spacing w:line="240" w:lineRule="auto"/>
        <w:jc w:val="both"/>
        <w:rPr>
          <w:rFonts w:asciiTheme="majorBidi" w:hAnsiTheme="majorBidi" w:cstheme="majorBidi"/>
          <w:sz w:val="24"/>
          <w:szCs w:val="24"/>
        </w:rPr>
      </w:pPr>
      <w:r>
        <w:rPr>
          <w:rFonts w:asciiTheme="majorBidi" w:hAnsiTheme="majorBidi" w:cstheme="majorBidi"/>
          <w:sz w:val="24"/>
          <w:szCs w:val="24"/>
        </w:rPr>
        <w:t>4</w:t>
      </w:r>
      <w:r w:rsidR="00A12D3A" w:rsidRPr="00C329A3">
        <w:rPr>
          <w:rFonts w:asciiTheme="majorBidi" w:hAnsiTheme="majorBidi" w:cstheme="majorBidi"/>
          <w:sz w:val="24"/>
          <w:szCs w:val="24"/>
        </w:rPr>
        <w:t xml:space="preserve">) The HI showed there are no </w:t>
      </w:r>
      <w:r w:rsidR="00A12D3A" w:rsidRPr="000E0F12">
        <w:rPr>
          <w:rFonts w:asciiTheme="majorBidi" w:hAnsiTheme="majorBidi" w:cstheme="majorBidi"/>
          <w:noProof/>
          <w:sz w:val="24"/>
          <w:szCs w:val="24"/>
        </w:rPr>
        <w:t>noncarcinogenic</w:t>
      </w:r>
      <w:r w:rsidR="00A12D3A" w:rsidRPr="00C329A3">
        <w:rPr>
          <w:rFonts w:asciiTheme="majorBidi" w:hAnsiTheme="majorBidi" w:cstheme="majorBidi"/>
          <w:sz w:val="24"/>
          <w:szCs w:val="24"/>
        </w:rPr>
        <w:t xml:space="preserve"> adverse effects for adults, but the children are at risk of </w:t>
      </w:r>
      <w:r w:rsidR="00A12D3A" w:rsidRPr="000E0F12">
        <w:rPr>
          <w:rFonts w:asciiTheme="majorBidi" w:hAnsiTheme="majorBidi" w:cstheme="majorBidi"/>
          <w:noProof/>
          <w:sz w:val="24"/>
          <w:szCs w:val="24"/>
        </w:rPr>
        <w:t>non</w:t>
      </w:r>
      <w:r w:rsidR="00443ED8">
        <w:rPr>
          <w:rFonts w:asciiTheme="majorBidi" w:hAnsiTheme="majorBidi" w:cstheme="majorBidi"/>
          <w:noProof/>
          <w:sz w:val="24"/>
          <w:szCs w:val="24"/>
        </w:rPr>
        <w:t>-</w:t>
      </w:r>
      <w:r w:rsidR="00A12D3A" w:rsidRPr="000E0F12">
        <w:rPr>
          <w:rFonts w:asciiTheme="majorBidi" w:hAnsiTheme="majorBidi" w:cstheme="majorBidi"/>
          <w:noProof/>
          <w:sz w:val="24"/>
          <w:szCs w:val="24"/>
        </w:rPr>
        <w:t>carcinogenic</w:t>
      </w:r>
      <w:r w:rsidR="00A12D3A" w:rsidRPr="00C329A3">
        <w:rPr>
          <w:rFonts w:asciiTheme="majorBidi" w:hAnsiTheme="majorBidi" w:cstheme="majorBidi"/>
          <w:sz w:val="24"/>
          <w:szCs w:val="24"/>
        </w:rPr>
        <w:t xml:space="preserve"> effects. While the</w:t>
      </w:r>
      <w:r w:rsidR="006652E9">
        <w:rPr>
          <w:rFonts w:asciiTheme="majorBidi" w:hAnsiTheme="majorBidi" w:cstheme="majorBidi"/>
          <w:sz w:val="24"/>
          <w:szCs w:val="24"/>
        </w:rPr>
        <w:t xml:space="preserve"> total</w:t>
      </w:r>
      <w:r w:rsidR="00A12D3A" w:rsidRPr="00C329A3">
        <w:rPr>
          <w:rFonts w:asciiTheme="majorBidi" w:hAnsiTheme="majorBidi" w:cstheme="majorBidi"/>
          <w:sz w:val="24"/>
          <w:szCs w:val="24"/>
        </w:rPr>
        <w:t xml:space="preserve"> cancer risk of As and Cr in</w:t>
      </w:r>
      <w:r w:rsidR="000E0F12">
        <w:rPr>
          <w:rFonts w:asciiTheme="majorBidi" w:hAnsiTheme="majorBidi" w:cstheme="majorBidi"/>
          <w:sz w:val="24"/>
          <w:szCs w:val="24"/>
        </w:rPr>
        <w:t xml:space="preserve"> the</w:t>
      </w:r>
      <w:r w:rsidR="00A12D3A" w:rsidRPr="00C329A3">
        <w:rPr>
          <w:rFonts w:asciiTheme="majorBidi" w:hAnsiTheme="majorBidi" w:cstheme="majorBidi"/>
          <w:sz w:val="24"/>
          <w:szCs w:val="24"/>
        </w:rPr>
        <w:t xml:space="preserve"> </w:t>
      </w:r>
      <w:r w:rsidR="00A12D3A" w:rsidRPr="000E0F12">
        <w:rPr>
          <w:rFonts w:asciiTheme="majorBidi" w:hAnsiTheme="majorBidi" w:cstheme="majorBidi"/>
          <w:noProof/>
          <w:sz w:val="24"/>
          <w:szCs w:val="24"/>
        </w:rPr>
        <w:t>acceptable</w:t>
      </w:r>
      <w:r w:rsidR="00A12D3A" w:rsidRPr="00C329A3">
        <w:rPr>
          <w:rFonts w:asciiTheme="majorBidi" w:hAnsiTheme="majorBidi" w:cstheme="majorBidi"/>
          <w:sz w:val="24"/>
          <w:szCs w:val="24"/>
        </w:rPr>
        <w:t xml:space="preserve"> range for adults</w:t>
      </w:r>
      <w:r w:rsidR="00055B5D" w:rsidRPr="00C329A3">
        <w:rPr>
          <w:rFonts w:asciiTheme="majorBidi" w:hAnsiTheme="majorBidi" w:cstheme="majorBidi"/>
          <w:sz w:val="24"/>
          <w:szCs w:val="24"/>
        </w:rPr>
        <w:t xml:space="preserve"> and children</w:t>
      </w:r>
      <w:r w:rsidR="00A12D3A" w:rsidRPr="00C329A3">
        <w:rPr>
          <w:rFonts w:asciiTheme="majorBidi" w:hAnsiTheme="majorBidi" w:cstheme="majorBidi"/>
          <w:sz w:val="24"/>
          <w:szCs w:val="24"/>
        </w:rPr>
        <w:t xml:space="preserve">, </w:t>
      </w:r>
      <w:r w:rsidR="00055B5D" w:rsidRPr="00C329A3">
        <w:rPr>
          <w:rFonts w:asciiTheme="majorBidi" w:hAnsiTheme="majorBidi" w:cstheme="majorBidi"/>
          <w:sz w:val="24"/>
          <w:szCs w:val="24"/>
        </w:rPr>
        <w:t xml:space="preserve">while </w:t>
      </w:r>
      <w:r w:rsidR="006652E9">
        <w:rPr>
          <w:rFonts w:asciiTheme="majorBidi" w:hAnsiTheme="majorBidi" w:cstheme="majorBidi"/>
          <w:sz w:val="24"/>
          <w:szCs w:val="24"/>
        </w:rPr>
        <w:t>for</w:t>
      </w:r>
      <w:r w:rsidR="00055B5D" w:rsidRPr="00C329A3">
        <w:rPr>
          <w:rFonts w:asciiTheme="majorBidi" w:hAnsiTheme="majorBidi" w:cstheme="majorBidi"/>
          <w:sz w:val="24"/>
          <w:szCs w:val="24"/>
        </w:rPr>
        <w:t xml:space="preserve"> </w:t>
      </w:r>
      <w:r w:rsidR="006652E9" w:rsidRPr="006652E9">
        <w:rPr>
          <w:rFonts w:asciiTheme="majorBidi" w:hAnsiTheme="majorBidi" w:cstheme="majorBidi"/>
          <w:sz w:val="24"/>
          <w:szCs w:val="24"/>
        </w:rPr>
        <w:t xml:space="preserve">Pb, Cd, Co, and Ni </w:t>
      </w:r>
      <w:r w:rsidR="006652E9" w:rsidRPr="000E0F12">
        <w:rPr>
          <w:rFonts w:asciiTheme="majorBidi" w:hAnsiTheme="majorBidi" w:cstheme="majorBidi"/>
          <w:noProof/>
          <w:sz w:val="24"/>
          <w:szCs w:val="24"/>
        </w:rPr>
        <w:t>w</w:t>
      </w:r>
      <w:r w:rsidR="000E0F12">
        <w:rPr>
          <w:rFonts w:asciiTheme="majorBidi" w:hAnsiTheme="majorBidi" w:cstheme="majorBidi"/>
          <w:noProof/>
          <w:sz w:val="24"/>
          <w:szCs w:val="24"/>
        </w:rPr>
        <w:t>ere</w:t>
      </w:r>
      <w:r w:rsidR="006652E9" w:rsidRPr="006652E9">
        <w:rPr>
          <w:rFonts w:asciiTheme="majorBidi" w:hAnsiTheme="majorBidi" w:cstheme="majorBidi"/>
          <w:sz w:val="24"/>
          <w:szCs w:val="24"/>
        </w:rPr>
        <w:t xml:space="preserve"> lower than tolerable risk range at all sites</w:t>
      </w:r>
      <w:r w:rsidR="00055B5D" w:rsidRPr="00C329A3">
        <w:rPr>
          <w:rFonts w:asciiTheme="majorBidi" w:hAnsiTheme="majorBidi" w:cstheme="majorBidi"/>
          <w:sz w:val="24"/>
          <w:szCs w:val="24"/>
        </w:rPr>
        <w:t>.</w:t>
      </w:r>
    </w:p>
    <w:p w:rsidR="00371B21" w:rsidRPr="00C329A3" w:rsidRDefault="00A12D3A" w:rsidP="00C329A3">
      <w:pPr>
        <w:spacing w:line="240" w:lineRule="auto"/>
        <w:jc w:val="both"/>
        <w:rPr>
          <w:rFonts w:asciiTheme="majorBidi" w:hAnsiTheme="majorBidi" w:cstheme="majorBidi"/>
          <w:sz w:val="24"/>
          <w:szCs w:val="24"/>
        </w:rPr>
      </w:pPr>
      <w:r w:rsidRPr="00C329A3">
        <w:rPr>
          <w:rFonts w:asciiTheme="majorBidi" w:hAnsiTheme="majorBidi" w:cstheme="majorBidi"/>
          <w:sz w:val="24"/>
          <w:szCs w:val="24"/>
        </w:rPr>
        <w:t xml:space="preserve">     This study reveals that the soil of the study area moderately to heavily contaminated by heavy metals. These metals originated from anthropogenic</w:t>
      </w:r>
      <w:r w:rsidR="002426FB" w:rsidRPr="00C329A3">
        <w:rPr>
          <w:rFonts w:asciiTheme="majorBidi" w:hAnsiTheme="majorBidi" w:cstheme="majorBidi"/>
          <w:sz w:val="24"/>
          <w:szCs w:val="24"/>
        </w:rPr>
        <w:t xml:space="preserve"> and natural sources, but the anthropogenic sources contribute</w:t>
      </w:r>
      <w:r w:rsidR="005B305E" w:rsidRPr="00C329A3">
        <w:rPr>
          <w:rFonts w:asciiTheme="majorBidi" w:hAnsiTheme="majorBidi" w:cstheme="majorBidi"/>
          <w:sz w:val="24"/>
          <w:szCs w:val="24"/>
        </w:rPr>
        <w:t xml:space="preserve"> </w:t>
      </w:r>
      <w:r w:rsidR="000E0F12">
        <w:rPr>
          <w:rFonts w:asciiTheme="majorBidi" w:hAnsiTheme="majorBidi" w:cstheme="majorBidi"/>
          <w:noProof/>
          <w:sz w:val="24"/>
          <w:szCs w:val="24"/>
        </w:rPr>
        <w:t>to</w:t>
      </w:r>
      <w:r w:rsidR="002426FB" w:rsidRPr="00C329A3">
        <w:rPr>
          <w:rFonts w:asciiTheme="majorBidi" w:hAnsiTheme="majorBidi" w:cstheme="majorBidi"/>
          <w:sz w:val="24"/>
          <w:szCs w:val="24"/>
        </w:rPr>
        <w:t xml:space="preserve"> soil contaminatio</w:t>
      </w:r>
      <w:r w:rsidR="00C60A40" w:rsidRPr="00C329A3">
        <w:rPr>
          <w:rFonts w:asciiTheme="majorBidi" w:hAnsiTheme="majorBidi" w:cstheme="majorBidi"/>
          <w:sz w:val="24"/>
          <w:szCs w:val="24"/>
        </w:rPr>
        <w:t>n more than natural sources. H</w:t>
      </w:r>
      <w:r w:rsidR="002426FB" w:rsidRPr="00C329A3">
        <w:rPr>
          <w:rFonts w:asciiTheme="majorBidi" w:hAnsiTheme="majorBidi" w:cstheme="majorBidi"/>
          <w:sz w:val="24"/>
          <w:szCs w:val="24"/>
        </w:rPr>
        <w:t xml:space="preserve">uman health risk assessment showed there is high </w:t>
      </w:r>
      <w:r w:rsidR="005B305E" w:rsidRPr="00C329A3">
        <w:rPr>
          <w:rFonts w:asciiTheme="majorBidi" w:hAnsiTheme="majorBidi" w:cstheme="majorBidi"/>
          <w:sz w:val="24"/>
          <w:szCs w:val="24"/>
        </w:rPr>
        <w:t>non-carcinogenic</w:t>
      </w:r>
      <w:r w:rsidR="002426FB" w:rsidRPr="00C329A3">
        <w:rPr>
          <w:rFonts w:asciiTheme="majorBidi" w:hAnsiTheme="majorBidi" w:cstheme="majorBidi"/>
          <w:sz w:val="24"/>
          <w:szCs w:val="24"/>
        </w:rPr>
        <w:t xml:space="preserve"> for children this </w:t>
      </w:r>
      <w:r w:rsidR="002426FB" w:rsidRPr="000E0F12">
        <w:rPr>
          <w:rFonts w:asciiTheme="majorBidi" w:hAnsiTheme="majorBidi" w:cstheme="majorBidi"/>
          <w:noProof/>
          <w:sz w:val="24"/>
          <w:szCs w:val="24"/>
        </w:rPr>
        <w:t>mean</w:t>
      </w:r>
      <w:r w:rsidR="000E0F12">
        <w:rPr>
          <w:rFonts w:asciiTheme="majorBidi" w:hAnsiTheme="majorBidi" w:cstheme="majorBidi"/>
          <w:noProof/>
          <w:sz w:val="24"/>
          <w:szCs w:val="24"/>
        </w:rPr>
        <w:t>s</w:t>
      </w:r>
      <w:r w:rsidR="002426FB" w:rsidRPr="00C329A3">
        <w:rPr>
          <w:rFonts w:asciiTheme="majorBidi" w:hAnsiTheme="majorBidi" w:cstheme="majorBidi"/>
          <w:sz w:val="24"/>
          <w:szCs w:val="24"/>
        </w:rPr>
        <w:t xml:space="preserve"> the residing of c</w:t>
      </w:r>
      <w:r w:rsidR="005B305E" w:rsidRPr="00C329A3">
        <w:rPr>
          <w:rFonts w:asciiTheme="majorBidi" w:hAnsiTheme="majorBidi" w:cstheme="majorBidi"/>
          <w:sz w:val="24"/>
          <w:szCs w:val="24"/>
        </w:rPr>
        <w:t xml:space="preserve">hildren in this area unhealthy. </w:t>
      </w:r>
    </w:p>
    <w:p w:rsidR="00BF49C7" w:rsidRPr="005911ED" w:rsidRDefault="00BF49C7" w:rsidP="005B305E">
      <w:pPr>
        <w:spacing w:line="360" w:lineRule="auto"/>
        <w:jc w:val="both"/>
        <w:rPr>
          <w:rFonts w:asciiTheme="majorBidi" w:hAnsiTheme="majorBidi" w:cstheme="majorBidi"/>
          <w:sz w:val="24"/>
          <w:szCs w:val="24"/>
        </w:rPr>
      </w:pPr>
      <w:r w:rsidRPr="005911ED">
        <w:rPr>
          <w:rFonts w:asciiTheme="majorBidi" w:hAnsiTheme="majorBidi" w:cstheme="majorBidi"/>
          <w:b/>
          <w:bCs/>
          <w:sz w:val="24"/>
          <w:szCs w:val="24"/>
        </w:rPr>
        <w:t>Reference:</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Abdelhafez, A. A.; Abbas, H. H.; Abd-El-Aal, R. S.; Kandil, N. F.; Li, J.; and Mahmoud, W. (2012). Environmental and health impacts of successive mineral fertilization in Egypt. </w:t>
      </w:r>
      <w:r w:rsidRPr="00666831">
        <w:rPr>
          <w:rFonts w:asciiTheme="majorBidi" w:hAnsiTheme="majorBidi" w:cstheme="majorBidi"/>
          <w:i/>
          <w:iCs/>
          <w:sz w:val="22"/>
          <w:szCs w:val="22"/>
        </w:rPr>
        <w:t>Clean Soil Air Water</w:t>
      </w:r>
      <w:r w:rsidRPr="00666831">
        <w:rPr>
          <w:rFonts w:asciiTheme="majorBidi" w:hAnsiTheme="majorBidi" w:cstheme="majorBidi"/>
          <w:sz w:val="22"/>
          <w:szCs w:val="22"/>
        </w:rPr>
        <w:t xml:space="preserve">, 40 (4), pp. 356-363. </w:t>
      </w:r>
    </w:p>
    <w:p w:rsidR="00666831" w:rsidRPr="00666831" w:rsidRDefault="00666831" w:rsidP="005B1CA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Al-Kadhimi, J. A.; Sissakian, V. K.; </w:t>
      </w:r>
      <w:r w:rsidRPr="00A56A9D">
        <w:rPr>
          <w:rFonts w:asciiTheme="majorBidi" w:hAnsiTheme="majorBidi" w:cstheme="majorBidi"/>
          <w:noProof/>
          <w:sz w:val="22"/>
          <w:szCs w:val="22"/>
        </w:rPr>
        <w:t>Deikran</w:t>
      </w:r>
      <w:r w:rsidRPr="00666831">
        <w:rPr>
          <w:rFonts w:asciiTheme="majorBidi" w:hAnsiTheme="majorBidi" w:cstheme="majorBidi"/>
          <w:sz w:val="22"/>
          <w:szCs w:val="22"/>
        </w:rPr>
        <w:t>, D. B.; Fattah, A.S. (1996). Tectonic Map of Iraq, Scale 1:1000000, 2</w:t>
      </w:r>
      <w:r w:rsidRPr="00666831">
        <w:rPr>
          <w:rFonts w:asciiTheme="majorBidi" w:hAnsiTheme="majorBidi" w:cstheme="majorBidi"/>
          <w:sz w:val="22"/>
          <w:szCs w:val="22"/>
          <w:vertAlign w:val="superscript"/>
        </w:rPr>
        <w:t>nd</w:t>
      </w:r>
      <w:r w:rsidRPr="00666831">
        <w:rPr>
          <w:rFonts w:asciiTheme="majorBidi" w:hAnsiTheme="majorBidi" w:cstheme="majorBidi"/>
          <w:sz w:val="22"/>
          <w:szCs w:val="22"/>
        </w:rPr>
        <w:t xml:space="preserve"> edition. </w:t>
      </w:r>
      <w:r w:rsidRPr="00666831">
        <w:rPr>
          <w:rFonts w:asciiTheme="majorBidi" w:hAnsiTheme="majorBidi" w:cstheme="majorBidi"/>
          <w:i/>
          <w:iCs/>
          <w:sz w:val="22"/>
          <w:szCs w:val="22"/>
        </w:rPr>
        <w:t>GEOSURV, Baghdad, Iraq</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Al-Naqib, K. M. (1960). Southern Region Geology Summary for the brigade Kirkuk-Iraq, Iraq Oil Company Limited. </w:t>
      </w:r>
      <w:r w:rsidRPr="00666831">
        <w:rPr>
          <w:rFonts w:asciiTheme="majorBidi" w:hAnsiTheme="majorBidi" w:cstheme="majorBidi"/>
          <w:i/>
          <w:iCs/>
          <w:sz w:val="22"/>
          <w:szCs w:val="22"/>
        </w:rPr>
        <w:t xml:space="preserve">Second Arab Petroleum </w:t>
      </w:r>
      <w:r w:rsidRPr="00A971F7">
        <w:rPr>
          <w:rFonts w:asciiTheme="majorBidi" w:hAnsiTheme="majorBidi" w:cstheme="majorBidi"/>
          <w:i/>
          <w:iCs/>
          <w:noProof/>
          <w:sz w:val="22"/>
          <w:szCs w:val="22"/>
        </w:rPr>
        <w:t>conference</w:t>
      </w:r>
      <w:r w:rsidRPr="00666831">
        <w:rPr>
          <w:rFonts w:asciiTheme="majorBidi" w:hAnsiTheme="majorBidi" w:cstheme="majorBidi"/>
          <w:sz w:val="22"/>
          <w:szCs w:val="22"/>
        </w:rPr>
        <w:t>, pp. 62.</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Bade, R.; Oh, S.; Shin, W. S.; and Hwang, I. (2013). Human health risk assessment of soils contaminated with metal(loid)s by using DGT uptake: A case study of a former Korean metal refinery site. </w:t>
      </w:r>
      <w:r w:rsidRPr="00666831">
        <w:rPr>
          <w:rFonts w:asciiTheme="majorBidi" w:hAnsiTheme="majorBidi" w:cstheme="majorBidi"/>
          <w:i/>
          <w:iCs/>
          <w:sz w:val="22"/>
          <w:szCs w:val="22"/>
        </w:rPr>
        <w:t>Hum. Ecol. Risk Assessment</w:t>
      </w:r>
      <w:r w:rsidRPr="00666831">
        <w:rPr>
          <w:rFonts w:asciiTheme="majorBidi" w:hAnsiTheme="majorBidi" w:cstheme="majorBidi"/>
          <w:sz w:val="22"/>
          <w:szCs w:val="22"/>
        </w:rPr>
        <w:t>, 19, pp. 767-777.</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Bullock, P. and Gregory, P. J. (1991). Soils in the urban environment. </w:t>
      </w:r>
      <w:r w:rsidRPr="00666831">
        <w:rPr>
          <w:rFonts w:asciiTheme="majorBidi" w:hAnsiTheme="majorBidi" w:cstheme="majorBidi"/>
          <w:i/>
          <w:iCs/>
          <w:sz w:val="22"/>
          <w:szCs w:val="22"/>
        </w:rPr>
        <w:t>UK: Blackwell Scientific Publications.</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Buringh, P. (1960). Soils and Soil Conditions in Iraq. </w:t>
      </w:r>
      <w:r w:rsidRPr="00666831">
        <w:rPr>
          <w:rFonts w:asciiTheme="majorBidi" w:hAnsiTheme="majorBidi" w:cstheme="majorBidi"/>
          <w:i/>
          <w:iCs/>
          <w:sz w:val="22"/>
          <w:szCs w:val="22"/>
        </w:rPr>
        <w:t>The Ministry of Agriculture, Baghdad, Iraq</w:t>
      </w:r>
      <w:r w:rsidRPr="00666831">
        <w:rPr>
          <w:rFonts w:asciiTheme="majorBidi" w:hAnsiTheme="majorBidi" w:cstheme="majorBidi"/>
          <w:sz w:val="22"/>
          <w:szCs w:val="22"/>
        </w:rPr>
        <w:t>, p. 332.</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Campbell, L.M. (2001). Mercury in Lake Victoria (East Africa): Another emerging issue for a Beleaguered Lake? Ph.D. </w:t>
      </w:r>
      <w:r w:rsidRPr="00666831">
        <w:rPr>
          <w:rFonts w:asciiTheme="majorBidi" w:hAnsiTheme="majorBidi" w:cstheme="majorBidi"/>
          <w:i/>
          <w:iCs/>
          <w:sz w:val="22"/>
          <w:szCs w:val="22"/>
        </w:rPr>
        <w:t>dissertation, Waterloo, Ontario, Canada</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Chen, H.; An, J.; Wei, S.; and Gu, J. (2015). Spatial Patterns and Risk Assessment of Heavy Metals in Soil in Resources-Exhausted City, Northeast China. </w:t>
      </w:r>
      <w:r w:rsidRPr="00666831">
        <w:rPr>
          <w:rFonts w:asciiTheme="majorBidi" w:hAnsiTheme="majorBidi" w:cstheme="majorBidi"/>
          <w:i/>
          <w:iCs/>
          <w:sz w:val="22"/>
          <w:szCs w:val="22"/>
        </w:rPr>
        <w:t>PLoS ONE</w:t>
      </w:r>
      <w:r w:rsidRPr="00666831">
        <w:rPr>
          <w:rFonts w:asciiTheme="majorBidi" w:hAnsiTheme="majorBidi" w:cstheme="majorBidi"/>
          <w:sz w:val="22"/>
          <w:szCs w:val="22"/>
        </w:rPr>
        <w:t xml:space="preserve"> 10 (9), pp. 12.</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Chiroma, T. M.; Ebewele, R. O.; and Hymore, K. (2014). Comparative assessment of heavy metal levels in soil, vegetables and urban </w:t>
      </w:r>
      <w:r w:rsidRPr="00A971F7">
        <w:rPr>
          <w:rFonts w:asciiTheme="majorBidi" w:hAnsiTheme="majorBidi" w:cstheme="majorBidi"/>
          <w:noProof/>
          <w:sz w:val="22"/>
          <w:szCs w:val="22"/>
        </w:rPr>
        <w:t>grey</w:t>
      </w:r>
      <w:r w:rsidRPr="00666831">
        <w:rPr>
          <w:rFonts w:asciiTheme="majorBidi" w:hAnsiTheme="majorBidi" w:cstheme="majorBidi"/>
          <w:sz w:val="22"/>
          <w:szCs w:val="22"/>
        </w:rPr>
        <w:t xml:space="preserve"> </w:t>
      </w:r>
      <w:r w:rsidRPr="00A56A9D">
        <w:rPr>
          <w:rFonts w:asciiTheme="majorBidi" w:hAnsiTheme="majorBidi" w:cstheme="majorBidi"/>
          <w:noProof/>
          <w:sz w:val="22"/>
          <w:szCs w:val="22"/>
        </w:rPr>
        <w:t>wastewater</w:t>
      </w:r>
      <w:r w:rsidRPr="00666831">
        <w:rPr>
          <w:rFonts w:asciiTheme="majorBidi" w:hAnsiTheme="majorBidi" w:cstheme="majorBidi"/>
          <w:sz w:val="22"/>
          <w:szCs w:val="22"/>
        </w:rPr>
        <w:t xml:space="preserve"> used for irrigation in Yola and Kano. </w:t>
      </w:r>
      <w:r w:rsidRPr="00666831">
        <w:rPr>
          <w:rFonts w:asciiTheme="majorBidi" w:hAnsiTheme="majorBidi" w:cstheme="majorBidi"/>
          <w:i/>
          <w:iCs/>
          <w:sz w:val="22"/>
          <w:szCs w:val="22"/>
        </w:rPr>
        <w:t>Int. Ref. J. Eng. Sci.</w:t>
      </w:r>
      <w:r w:rsidRPr="00666831">
        <w:rPr>
          <w:rFonts w:asciiTheme="majorBidi" w:hAnsiTheme="majorBidi" w:cstheme="majorBidi"/>
          <w:sz w:val="22"/>
          <w:szCs w:val="22"/>
        </w:rPr>
        <w:t>, 3, pp. 1-9.</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Environmental Protection Agency (2005). Ecological Screening values for Surface Water, Sediment, and Soil. </w:t>
      </w:r>
      <w:r w:rsidRPr="00666831">
        <w:rPr>
          <w:rFonts w:asciiTheme="majorBidi" w:hAnsiTheme="majorBidi" w:cstheme="majorBidi"/>
          <w:i/>
          <w:iCs/>
          <w:sz w:val="22"/>
          <w:szCs w:val="22"/>
        </w:rPr>
        <w:t>WSRC-TR-2004-00227, Savanah River National Laboratory, Aiken, South Carolina 29803</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Hakanson, L. (1980). An Ecological Risk Index for Aquatic Pollution Control. </w:t>
      </w:r>
      <w:r w:rsidRPr="00666831">
        <w:rPr>
          <w:rFonts w:asciiTheme="majorBidi" w:hAnsiTheme="majorBidi" w:cstheme="majorBidi"/>
          <w:i/>
          <w:iCs/>
          <w:sz w:val="22"/>
          <w:szCs w:val="22"/>
        </w:rPr>
        <w:t>A Sedimentological Approach. Water Research,</w:t>
      </w:r>
      <w:r w:rsidRPr="00666831">
        <w:rPr>
          <w:rFonts w:asciiTheme="majorBidi" w:hAnsiTheme="majorBidi" w:cstheme="majorBidi"/>
          <w:sz w:val="22"/>
          <w:szCs w:val="22"/>
        </w:rPr>
        <w:t xml:space="preserve"> Vol. 14, pp. 975-1001.</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Harikumar, P. S.; Prajitha, K.; and Silpa, S. (2010). Assessment of Heavy Metal Contamination in the Sediments of a River Draining into a Ramsar site in the India Sub Continent. </w:t>
      </w:r>
      <w:r w:rsidRPr="00666831">
        <w:rPr>
          <w:rFonts w:asciiTheme="majorBidi" w:hAnsiTheme="majorBidi" w:cstheme="majorBidi"/>
          <w:i/>
          <w:iCs/>
          <w:sz w:val="22"/>
          <w:szCs w:val="22"/>
        </w:rPr>
        <w:t>Journal of Advanced Laboratory Research in Biology</w:t>
      </w:r>
      <w:r w:rsidRPr="00666831">
        <w:rPr>
          <w:rFonts w:asciiTheme="majorBidi" w:hAnsiTheme="majorBidi" w:cstheme="majorBidi"/>
          <w:sz w:val="22"/>
          <w:szCs w:val="22"/>
        </w:rPr>
        <w:t>, Vol. I, pp. 120-129.</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Jaradat, A. A. (2002). Agriculture in Iraq: Resources, Potentials, Constraints, and Research Needs and Priorities. </w:t>
      </w:r>
      <w:r w:rsidRPr="00666831">
        <w:rPr>
          <w:rFonts w:asciiTheme="majorBidi" w:hAnsiTheme="majorBidi" w:cstheme="majorBidi"/>
          <w:i/>
          <w:iCs/>
          <w:sz w:val="22"/>
          <w:szCs w:val="22"/>
        </w:rPr>
        <w:t>NCSC Research Lab, ARS-USDA 803 Iowa Avenue, Morris, MN 56267</w:t>
      </w:r>
      <w:r w:rsidRPr="00666831">
        <w:rPr>
          <w:rFonts w:asciiTheme="majorBidi" w:hAnsiTheme="majorBidi" w:cstheme="majorBidi"/>
          <w:sz w:val="22"/>
          <w:szCs w:val="22"/>
        </w:rPr>
        <w:t>, 83</w:t>
      </w:r>
      <w:r w:rsidR="009A5E6F">
        <w:rPr>
          <w:rFonts w:asciiTheme="majorBidi" w:hAnsiTheme="majorBidi" w:cstheme="majorBidi"/>
          <w:sz w:val="22"/>
          <w:szCs w:val="22"/>
        </w:rPr>
        <w:t xml:space="preserve"> p</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Kabata-Pendias, A. (2011). Trace Elements in Soil and Plants, 4</w:t>
      </w:r>
      <w:r w:rsidRPr="00666831">
        <w:rPr>
          <w:rFonts w:asciiTheme="majorBidi" w:hAnsiTheme="majorBidi" w:cstheme="majorBidi"/>
          <w:sz w:val="22"/>
          <w:szCs w:val="22"/>
          <w:vertAlign w:val="superscript"/>
        </w:rPr>
        <w:t>th</w:t>
      </w:r>
      <w:r w:rsidRPr="00666831">
        <w:rPr>
          <w:rFonts w:asciiTheme="majorBidi" w:hAnsiTheme="majorBidi" w:cstheme="majorBidi"/>
          <w:sz w:val="22"/>
          <w:szCs w:val="22"/>
        </w:rPr>
        <w:t xml:space="preserve"> ed., </w:t>
      </w:r>
      <w:r w:rsidRPr="00666831">
        <w:rPr>
          <w:rFonts w:asciiTheme="majorBidi" w:hAnsiTheme="majorBidi" w:cstheme="majorBidi"/>
          <w:i/>
          <w:iCs/>
          <w:sz w:val="22"/>
          <w:szCs w:val="22"/>
        </w:rPr>
        <w:t>Taylor &amp; Francis: Boca Raton, FL, USA</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Khan, M. N.; Wasim, A. A.; Sarwar, A.; and Rasheed, M. F. (2011). Assessment of heavy metal toxicants in the roadside soil along the N-5, national highway, Pakistan. Environ. </w:t>
      </w:r>
      <w:r w:rsidRPr="00666831">
        <w:rPr>
          <w:rFonts w:asciiTheme="majorBidi" w:hAnsiTheme="majorBidi" w:cstheme="majorBidi"/>
          <w:i/>
          <w:iCs/>
          <w:sz w:val="22"/>
          <w:szCs w:val="22"/>
        </w:rPr>
        <w:t>Monit. Assess. 182</w:t>
      </w:r>
      <w:r w:rsidRPr="00666831">
        <w:rPr>
          <w:rFonts w:asciiTheme="majorBidi" w:hAnsiTheme="majorBidi" w:cstheme="majorBidi"/>
          <w:sz w:val="22"/>
          <w:szCs w:val="22"/>
        </w:rPr>
        <w:t>, pp. 587-595.</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Lane, T.</w:t>
      </w:r>
      <w:r w:rsidRPr="00666831">
        <w:rPr>
          <w:rFonts w:asciiTheme="majorBidi" w:hAnsiTheme="majorBidi" w:cstheme="majorBidi" w:hint="cs"/>
          <w:sz w:val="22"/>
          <w:szCs w:val="22"/>
          <w:rtl/>
          <w:lang w:bidi="ar-IQ"/>
        </w:rPr>
        <w:t xml:space="preserve"> </w:t>
      </w:r>
      <w:r w:rsidRPr="00666831">
        <w:rPr>
          <w:rFonts w:asciiTheme="majorBidi" w:hAnsiTheme="majorBidi" w:cstheme="majorBidi"/>
          <w:sz w:val="22"/>
          <w:szCs w:val="22"/>
        </w:rPr>
        <w:t xml:space="preserve">W. </w:t>
      </w:r>
      <w:r w:rsidRPr="00A56A9D">
        <w:rPr>
          <w:rFonts w:asciiTheme="majorBidi" w:hAnsiTheme="majorBidi" w:cstheme="majorBidi"/>
          <w:noProof/>
          <w:sz w:val="22"/>
          <w:szCs w:val="22"/>
        </w:rPr>
        <w:t>and</w:t>
      </w:r>
      <w:r w:rsidRPr="00666831">
        <w:rPr>
          <w:rFonts w:asciiTheme="majorBidi" w:hAnsiTheme="majorBidi" w:cstheme="majorBidi"/>
          <w:sz w:val="22"/>
          <w:szCs w:val="22"/>
        </w:rPr>
        <w:t xml:space="preserve"> Morel, F. M. (2009). A biological function for cadmium in marine diatoms. </w:t>
      </w:r>
      <w:r w:rsidRPr="00666831">
        <w:rPr>
          <w:rFonts w:asciiTheme="majorBidi" w:hAnsiTheme="majorBidi" w:cstheme="majorBidi"/>
          <w:i/>
          <w:iCs/>
          <w:sz w:val="22"/>
          <w:szCs w:val="22"/>
        </w:rPr>
        <w:t>Proc. Natl. Acad. Sci. USA</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Li, Q; Chen, Y.; Fu, H.; Cui, Z.; Shi, L.; and Wang, L., et al. (2012). Health risk of heavy metals in food crops grown on reclaimed tidal flat soil in the Pearl River Estuary, China. </w:t>
      </w:r>
      <w:r w:rsidRPr="00666831">
        <w:rPr>
          <w:rFonts w:asciiTheme="majorBidi" w:hAnsiTheme="majorBidi" w:cstheme="majorBidi"/>
          <w:i/>
          <w:iCs/>
          <w:sz w:val="22"/>
          <w:szCs w:val="22"/>
        </w:rPr>
        <w:t>J. Hazard Mater</w:t>
      </w:r>
      <w:r w:rsidRPr="00666831">
        <w:rPr>
          <w:rFonts w:asciiTheme="majorBidi" w:hAnsiTheme="majorBidi" w:cstheme="majorBidi"/>
          <w:sz w:val="22"/>
          <w:szCs w:val="22"/>
        </w:rPr>
        <w:t>. 227-228: pp. 148-154.</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Li, Z.; Ma, Z.; van der Kuijp, T. J.; Yuan, Z.; and Huang, L. (2014). A review of soil heavy metal pollution from mines in </w:t>
      </w:r>
      <w:r w:rsidR="00A56A9D">
        <w:rPr>
          <w:rFonts w:asciiTheme="majorBidi" w:hAnsiTheme="majorBidi" w:cstheme="majorBidi"/>
          <w:noProof/>
          <w:sz w:val="22"/>
          <w:szCs w:val="22"/>
        </w:rPr>
        <w:t>C</w:t>
      </w:r>
      <w:r w:rsidRPr="00A56A9D">
        <w:rPr>
          <w:rFonts w:asciiTheme="majorBidi" w:hAnsiTheme="majorBidi" w:cstheme="majorBidi"/>
          <w:noProof/>
          <w:sz w:val="22"/>
          <w:szCs w:val="22"/>
        </w:rPr>
        <w:t>hina</w:t>
      </w:r>
      <w:r w:rsidRPr="00666831">
        <w:rPr>
          <w:rFonts w:asciiTheme="majorBidi" w:hAnsiTheme="majorBidi" w:cstheme="majorBidi"/>
          <w:sz w:val="22"/>
          <w:szCs w:val="22"/>
        </w:rPr>
        <w:t xml:space="preserve">: Pollution and health risk assessment. </w:t>
      </w:r>
      <w:r w:rsidRPr="00666831">
        <w:rPr>
          <w:rFonts w:asciiTheme="majorBidi" w:hAnsiTheme="majorBidi" w:cstheme="majorBidi"/>
          <w:i/>
          <w:iCs/>
          <w:sz w:val="22"/>
          <w:szCs w:val="22"/>
        </w:rPr>
        <w:t>Sci. Total Environ</w:t>
      </w:r>
      <w:r w:rsidRPr="00666831">
        <w:rPr>
          <w:rFonts w:asciiTheme="majorBidi" w:hAnsiTheme="majorBidi" w:cstheme="majorBidi"/>
          <w:sz w:val="22"/>
          <w:szCs w:val="22"/>
        </w:rPr>
        <w:t>. 468-469: pp. 843-853.</w:t>
      </w:r>
    </w:p>
    <w:p w:rsidR="004550C8" w:rsidRPr="004550C8" w:rsidRDefault="004550C8" w:rsidP="004550C8">
      <w:pPr>
        <w:pStyle w:val="ListParagraph"/>
        <w:numPr>
          <w:ilvl w:val="0"/>
          <w:numId w:val="28"/>
        </w:numPr>
        <w:spacing w:after="0"/>
        <w:rPr>
          <w:rFonts w:asciiTheme="majorBidi" w:hAnsiTheme="majorBidi" w:cstheme="majorBidi"/>
          <w:sz w:val="22"/>
          <w:szCs w:val="22"/>
        </w:rPr>
      </w:pPr>
      <w:r w:rsidRPr="004550C8">
        <w:rPr>
          <w:rFonts w:asciiTheme="majorBidi" w:hAnsiTheme="majorBidi" w:cstheme="majorBidi"/>
          <w:sz w:val="22"/>
          <w:szCs w:val="22"/>
        </w:rPr>
        <w:t xml:space="preserve">Manta, D. S.; Angelone, M.; Bellanca, A.; Neri, R.; and Sprovieri, M. (2002). Heavy metals in urban soils: A case study from the city of Palermo (Sicily), Italy. </w:t>
      </w:r>
      <w:r w:rsidRPr="00A56A9D">
        <w:rPr>
          <w:rFonts w:asciiTheme="majorBidi" w:hAnsiTheme="majorBidi" w:cstheme="majorBidi"/>
          <w:noProof/>
          <w:sz w:val="22"/>
          <w:szCs w:val="22"/>
        </w:rPr>
        <w:t>Science</w:t>
      </w:r>
      <w:r w:rsidRPr="004550C8">
        <w:rPr>
          <w:rFonts w:asciiTheme="majorBidi" w:hAnsiTheme="majorBidi" w:cstheme="majorBidi"/>
          <w:sz w:val="22"/>
          <w:szCs w:val="22"/>
        </w:rPr>
        <w:t xml:space="preserve"> of the Total Environment, 300, pp. 229–243.</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MOE (2009). Soil contamination risk assessment guidelines. </w:t>
      </w:r>
      <w:r w:rsidRPr="00666831">
        <w:rPr>
          <w:rFonts w:asciiTheme="majorBidi" w:hAnsiTheme="majorBidi" w:cstheme="majorBidi"/>
          <w:i/>
          <w:iCs/>
          <w:sz w:val="22"/>
          <w:szCs w:val="22"/>
        </w:rPr>
        <w:t>Korean Ministry of Environment, Gwachun, Kyunggi in South Korea</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Nicholson, F. A.; Smith, S. R.; Alloway, B. J.; </w:t>
      </w:r>
      <w:r w:rsidRPr="00A56A9D">
        <w:rPr>
          <w:rFonts w:asciiTheme="majorBidi" w:hAnsiTheme="majorBidi" w:cstheme="majorBidi"/>
          <w:noProof/>
          <w:sz w:val="22"/>
          <w:szCs w:val="22"/>
        </w:rPr>
        <w:t>Carlton</w:t>
      </w:r>
      <w:r w:rsidR="00A56A9D">
        <w:rPr>
          <w:rFonts w:asciiTheme="majorBidi" w:hAnsiTheme="majorBidi" w:cstheme="majorBidi"/>
          <w:sz w:val="22"/>
          <w:szCs w:val="22"/>
        </w:rPr>
        <w:t>-</w:t>
      </w:r>
      <w:r w:rsidRPr="00666831">
        <w:rPr>
          <w:rFonts w:asciiTheme="majorBidi" w:hAnsiTheme="majorBidi" w:cstheme="majorBidi"/>
          <w:sz w:val="22"/>
          <w:szCs w:val="22"/>
        </w:rPr>
        <w:t xml:space="preserve">Smith, C.; and Chambers, B. J. (2003). An Inventory of heavy metals inputs to agricultural soils in England and Wales. </w:t>
      </w:r>
      <w:r w:rsidRPr="00666831">
        <w:rPr>
          <w:rFonts w:asciiTheme="majorBidi" w:hAnsiTheme="majorBidi" w:cstheme="majorBidi"/>
          <w:i/>
          <w:iCs/>
          <w:sz w:val="22"/>
          <w:szCs w:val="22"/>
        </w:rPr>
        <w:t>The Science of the Total Environment</w:t>
      </w:r>
      <w:r w:rsidRPr="00666831">
        <w:rPr>
          <w:rFonts w:asciiTheme="majorBidi" w:hAnsiTheme="majorBidi" w:cstheme="majorBidi"/>
          <w:sz w:val="22"/>
          <w:szCs w:val="22"/>
        </w:rPr>
        <w:t>, 311, pp. 205-219.</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Nouri, J.; Mahvi, A. H., Babaei, A.; and Ahmed Pour, E. (2006). Regional pattern distribution of groundwater fluoride in the Shush aquifer of Khuzestan County Iran. </w:t>
      </w:r>
      <w:r w:rsidRPr="00666831">
        <w:rPr>
          <w:rFonts w:asciiTheme="majorBidi" w:hAnsiTheme="majorBidi" w:cstheme="majorBidi"/>
          <w:i/>
          <w:iCs/>
          <w:sz w:val="22"/>
          <w:szCs w:val="22"/>
        </w:rPr>
        <w:t xml:space="preserve">Fluoride </w:t>
      </w:r>
      <w:r w:rsidRPr="00666831">
        <w:rPr>
          <w:rFonts w:asciiTheme="majorBidi" w:hAnsiTheme="majorBidi" w:cstheme="majorBidi"/>
          <w:sz w:val="22"/>
          <w:szCs w:val="22"/>
        </w:rPr>
        <w:t>39 (4), pp. 321-325.</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NRC. (1983). Risk assessment in the </w:t>
      </w:r>
      <w:r w:rsidRPr="00A56A9D">
        <w:rPr>
          <w:rFonts w:asciiTheme="majorBidi" w:hAnsiTheme="majorBidi" w:cstheme="majorBidi"/>
          <w:noProof/>
          <w:sz w:val="22"/>
          <w:szCs w:val="22"/>
        </w:rPr>
        <w:t>Fed</w:t>
      </w:r>
      <w:r w:rsidR="00A56A9D">
        <w:rPr>
          <w:rFonts w:asciiTheme="majorBidi" w:hAnsiTheme="majorBidi" w:cstheme="majorBidi"/>
          <w:noProof/>
          <w:sz w:val="22"/>
          <w:szCs w:val="22"/>
        </w:rPr>
        <w:t>e</w:t>
      </w:r>
      <w:r w:rsidRPr="00A56A9D">
        <w:rPr>
          <w:rFonts w:asciiTheme="majorBidi" w:hAnsiTheme="majorBidi" w:cstheme="majorBidi"/>
          <w:noProof/>
          <w:sz w:val="22"/>
          <w:szCs w:val="22"/>
        </w:rPr>
        <w:t>ral</w:t>
      </w:r>
      <w:r w:rsidRPr="00666831">
        <w:rPr>
          <w:rFonts w:asciiTheme="majorBidi" w:hAnsiTheme="majorBidi" w:cstheme="majorBidi"/>
          <w:sz w:val="22"/>
          <w:szCs w:val="22"/>
        </w:rPr>
        <w:t xml:space="preserve"> Government: Managing the process</w:t>
      </w:r>
      <w:r w:rsidRPr="00666831">
        <w:rPr>
          <w:rFonts w:asciiTheme="majorBidi" w:hAnsiTheme="majorBidi" w:cstheme="majorBidi"/>
          <w:i/>
          <w:iCs/>
          <w:sz w:val="22"/>
          <w:szCs w:val="22"/>
        </w:rPr>
        <w:t>, National Academy Press</w:t>
      </w:r>
      <w:r w:rsidRPr="00666831">
        <w:rPr>
          <w:rFonts w:asciiTheme="majorBidi" w:hAnsiTheme="majorBidi" w:cstheme="majorBidi"/>
          <w:sz w:val="22"/>
          <w:szCs w:val="22"/>
        </w:rPr>
        <w:t>, Washington, D.C. USA.</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Nriagu, J. O.</w:t>
      </w:r>
      <w:r w:rsidR="00A56A9D">
        <w:rPr>
          <w:rFonts w:asciiTheme="majorBidi" w:hAnsiTheme="majorBidi" w:cstheme="majorBidi"/>
          <w:sz w:val="22"/>
          <w:szCs w:val="22"/>
        </w:rPr>
        <w:t>,</w:t>
      </w:r>
      <w:r w:rsidRPr="00666831">
        <w:rPr>
          <w:rFonts w:asciiTheme="majorBidi" w:hAnsiTheme="majorBidi" w:cstheme="majorBidi"/>
          <w:sz w:val="22"/>
          <w:szCs w:val="22"/>
        </w:rPr>
        <w:t xml:space="preserve"> </w:t>
      </w:r>
      <w:r w:rsidRPr="00A56A9D">
        <w:rPr>
          <w:rFonts w:asciiTheme="majorBidi" w:hAnsiTheme="majorBidi" w:cstheme="majorBidi"/>
          <w:noProof/>
          <w:sz w:val="22"/>
          <w:szCs w:val="22"/>
        </w:rPr>
        <w:t>and</w:t>
      </w:r>
      <w:r w:rsidRPr="00666831">
        <w:rPr>
          <w:rFonts w:asciiTheme="majorBidi" w:hAnsiTheme="majorBidi" w:cstheme="majorBidi"/>
          <w:sz w:val="22"/>
          <w:szCs w:val="22"/>
        </w:rPr>
        <w:t xml:space="preserve"> Pacyna, J. M. (1988). Quantitative assessment of worldwide contamination of air, water, and soils by trace metals; Nature, 333, pp. 1139-1341.</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Pekey, H. (2006). Heavy metal pollution assessment in sediments of Izmit Bay, Turkey. </w:t>
      </w:r>
      <w:r w:rsidRPr="00666831">
        <w:rPr>
          <w:rFonts w:asciiTheme="majorBidi" w:hAnsiTheme="majorBidi" w:cstheme="majorBidi"/>
          <w:i/>
          <w:iCs/>
          <w:sz w:val="22"/>
          <w:szCs w:val="22"/>
        </w:rPr>
        <w:t>Environ. Monit. Assess</w:t>
      </w:r>
      <w:r w:rsidRPr="00666831">
        <w:rPr>
          <w:rFonts w:asciiTheme="majorBidi" w:hAnsiTheme="majorBidi" w:cstheme="majorBidi"/>
          <w:sz w:val="22"/>
          <w:szCs w:val="22"/>
        </w:rPr>
        <w:t>. 123 (1-3), pp. 219-231.</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Sissakian, V. K. (1992). The Geology of Kirkuk Quadrangle Sheet NI-38-2, Scale 1:250000. </w:t>
      </w:r>
      <w:r w:rsidRPr="00666831">
        <w:rPr>
          <w:rFonts w:asciiTheme="majorBidi" w:hAnsiTheme="majorBidi" w:cstheme="majorBidi"/>
          <w:i/>
          <w:iCs/>
          <w:sz w:val="22"/>
          <w:szCs w:val="22"/>
        </w:rPr>
        <w:t>GEOSURV, Baghdad</w:t>
      </w:r>
      <w:r w:rsidRPr="00666831">
        <w:rPr>
          <w:rFonts w:asciiTheme="majorBidi" w:hAnsiTheme="majorBidi" w:cstheme="majorBidi"/>
          <w:sz w:val="22"/>
          <w:szCs w:val="22"/>
        </w:rPr>
        <w:t>, 48</w:t>
      </w:r>
      <w:r w:rsidR="009A5E6F">
        <w:rPr>
          <w:rFonts w:asciiTheme="majorBidi" w:hAnsiTheme="majorBidi" w:cstheme="majorBidi"/>
          <w:sz w:val="22"/>
          <w:szCs w:val="22"/>
        </w:rPr>
        <w:t xml:space="preserve"> p</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U. S. Environmental Protection Agency (U.S. EPA), (2017). Regional Screening Level (RSL) </w:t>
      </w:r>
      <w:r w:rsidRPr="00A56A9D">
        <w:rPr>
          <w:rFonts w:asciiTheme="majorBidi" w:hAnsiTheme="majorBidi" w:cstheme="majorBidi"/>
          <w:noProof/>
          <w:sz w:val="22"/>
          <w:szCs w:val="22"/>
        </w:rPr>
        <w:t>Summ</w:t>
      </w:r>
      <w:r w:rsidR="00A56A9D">
        <w:rPr>
          <w:rFonts w:asciiTheme="majorBidi" w:hAnsiTheme="majorBidi" w:cstheme="majorBidi"/>
          <w:noProof/>
          <w:sz w:val="22"/>
          <w:szCs w:val="22"/>
        </w:rPr>
        <w:t>a</w:t>
      </w:r>
      <w:r w:rsidRPr="00A56A9D">
        <w:rPr>
          <w:rFonts w:asciiTheme="majorBidi" w:hAnsiTheme="majorBidi" w:cstheme="majorBidi"/>
          <w:noProof/>
          <w:sz w:val="22"/>
          <w:szCs w:val="22"/>
        </w:rPr>
        <w:t>ry</w:t>
      </w:r>
      <w:r w:rsidRPr="00666831">
        <w:rPr>
          <w:rFonts w:asciiTheme="majorBidi" w:hAnsiTheme="majorBidi" w:cstheme="majorBidi"/>
          <w:sz w:val="22"/>
          <w:szCs w:val="22"/>
        </w:rPr>
        <w:t xml:space="preserve"> Table, &lt;</w:t>
      </w:r>
      <w:hyperlink r:id="rId14" w:history="1">
        <w:r w:rsidRPr="00666831">
          <w:rPr>
            <w:rStyle w:val="Hyperlink"/>
            <w:rFonts w:asciiTheme="majorBidi" w:hAnsiTheme="majorBidi" w:cstheme="majorBidi"/>
            <w:sz w:val="22"/>
            <w:szCs w:val="22"/>
          </w:rPr>
          <w:t>https://www.epa.gov/risk/regional-screening-levels-rsls-generic-tables-june-2017</w:t>
        </w:r>
      </w:hyperlink>
      <w:r w:rsidRPr="00666831">
        <w:rPr>
          <w:rFonts w:asciiTheme="majorBidi" w:hAnsiTheme="majorBidi" w:cstheme="majorBidi"/>
          <w:sz w:val="22"/>
          <w:szCs w:val="22"/>
          <w:u w:val="single"/>
        </w:rPr>
        <w:t>&gt;</w:t>
      </w:r>
      <w:r w:rsidRPr="00666831">
        <w:rPr>
          <w:rFonts w:asciiTheme="majorBidi" w:hAnsiTheme="majorBidi" w:cstheme="majorBidi"/>
          <w:sz w:val="22"/>
          <w:szCs w:val="22"/>
        </w:rPr>
        <w:t xml:space="preserve">.  </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U. S. Environmental Protection Agency (U.S. EPA), (2016). Regional Screening Levels prepared by Oak Ridge National Laboratories, &lt;</w:t>
      </w:r>
      <w:hyperlink r:id="rId15" w:history="1">
        <w:r w:rsidRPr="00666831">
          <w:rPr>
            <w:rStyle w:val="Hyperlink"/>
            <w:rFonts w:asciiTheme="majorBidi" w:hAnsiTheme="majorBidi" w:cstheme="majorBidi"/>
            <w:sz w:val="22"/>
            <w:szCs w:val="22"/>
          </w:rPr>
          <w:t>http://epaprgs.ornl.gov/chemicals/index.shtml</w:t>
        </w:r>
      </w:hyperlink>
      <w:r w:rsidRPr="00666831">
        <w:rPr>
          <w:rFonts w:asciiTheme="majorBidi" w:hAnsiTheme="majorBidi" w:cstheme="majorBidi"/>
          <w:sz w:val="22"/>
          <w:szCs w:val="22"/>
          <w:u w:val="single"/>
        </w:rPr>
        <w:t>&gt;</w:t>
      </w:r>
      <w:r w:rsidRPr="00666831">
        <w:rPr>
          <w:rFonts w:asciiTheme="majorBidi" w:hAnsiTheme="majorBidi" w:cstheme="majorBidi"/>
          <w:sz w:val="22"/>
          <w:szCs w:val="22"/>
        </w:rPr>
        <w:t xml:space="preserve">.  </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U. S. Environmental Protection Agency (U.S. EPA), (2004). Risk Assessment Guidance for Superfund Volume I: Human Health Evaluation Manual (Part E, Supplemental Guidance for Dermal Risk Assessment); USEPA: Washington, D.C., USA.</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U. S. Environmental Protection Agency (U.S. EPA), (2001). Toxics Release Inventory: Public Data Release Report. &lt;</w:t>
      </w:r>
      <w:hyperlink r:id="rId16" w:history="1">
        <w:r w:rsidRPr="00666831">
          <w:rPr>
            <w:rStyle w:val="Hyperlink"/>
            <w:rFonts w:asciiTheme="majorBidi" w:hAnsiTheme="majorBidi" w:cstheme="majorBidi"/>
            <w:sz w:val="22"/>
            <w:szCs w:val="22"/>
          </w:rPr>
          <w:t>www.epa.gov/tri/tridata/tri01</w:t>
        </w:r>
      </w:hyperlink>
      <w:r w:rsidRPr="00666831">
        <w:rPr>
          <w:rFonts w:asciiTheme="majorBidi" w:hAnsiTheme="majorBidi" w:cstheme="majorBidi"/>
          <w:sz w:val="22"/>
          <w:szCs w:val="22"/>
          <w:u w:val="single"/>
        </w:rPr>
        <w:t>&gt;</w:t>
      </w:r>
      <w:r w:rsidRPr="00666831">
        <w:rPr>
          <w:rFonts w:asciiTheme="majorBidi" w:hAnsiTheme="majorBidi" w:cstheme="majorBidi"/>
          <w:sz w:val="22"/>
          <w:szCs w:val="22"/>
        </w:rPr>
        <w:t>. (accessed 24 February 2015).</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 U. S. Environmental Protection Agency (U.S. EPA), (1989). Risk Assessment Guidance for Superfund Volume 1: Human Health Evaluation Manual (Part A). </w:t>
      </w:r>
      <w:r w:rsidRPr="00666831">
        <w:rPr>
          <w:rFonts w:asciiTheme="majorBidi" w:hAnsiTheme="majorBidi" w:cstheme="majorBidi"/>
          <w:i/>
          <w:iCs/>
          <w:sz w:val="22"/>
          <w:szCs w:val="22"/>
        </w:rPr>
        <w:t>Office of Emergency and Remedial Response</w:t>
      </w:r>
      <w:r w:rsidRPr="00666831">
        <w:rPr>
          <w:rFonts w:asciiTheme="majorBidi" w:hAnsiTheme="majorBidi" w:cstheme="majorBidi"/>
          <w:sz w:val="22"/>
          <w:szCs w:val="22"/>
        </w:rPr>
        <w:t xml:space="preserve">: </w:t>
      </w:r>
      <w:r w:rsidRPr="00666831">
        <w:rPr>
          <w:rFonts w:asciiTheme="majorBidi" w:hAnsiTheme="majorBidi" w:cstheme="majorBidi"/>
          <w:i/>
          <w:iCs/>
          <w:sz w:val="22"/>
          <w:szCs w:val="22"/>
        </w:rPr>
        <w:t>Washington, D.C.</w:t>
      </w:r>
      <w:r w:rsidRPr="00666831">
        <w:rPr>
          <w:rFonts w:asciiTheme="majorBidi" w:hAnsiTheme="majorBidi" w:cstheme="majorBidi"/>
          <w:sz w:val="22"/>
          <w:szCs w:val="22"/>
        </w:rPr>
        <w:t>, USA.</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U. S. Environmental Protection Agency (U.S. EPA), (1977). Guidance for the </w:t>
      </w:r>
      <w:r w:rsidRPr="008E0E89">
        <w:rPr>
          <w:rFonts w:asciiTheme="majorBidi" w:hAnsiTheme="majorBidi" w:cstheme="majorBidi"/>
          <w:noProof/>
          <w:sz w:val="22"/>
          <w:szCs w:val="22"/>
        </w:rPr>
        <w:t>Pollutional</w:t>
      </w:r>
      <w:r w:rsidRPr="00666831">
        <w:rPr>
          <w:rFonts w:asciiTheme="majorBidi" w:hAnsiTheme="majorBidi" w:cstheme="majorBidi"/>
          <w:sz w:val="22"/>
          <w:szCs w:val="22"/>
        </w:rPr>
        <w:t xml:space="preserve"> Classification of Great Lakes Harbor Sediments, Region V, Chicago, Illinois.</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Van der Perk, M. (2006). Soil and Water Contamination. </w:t>
      </w:r>
      <w:r w:rsidRPr="00666831">
        <w:rPr>
          <w:rFonts w:asciiTheme="majorBidi" w:hAnsiTheme="majorBidi" w:cstheme="majorBidi"/>
          <w:i/>
          <w:iCs/>
          <w:sz w:val="22"/>
          <w:szCs w:val="22"/>
        </w:rPr>
        <w:t>Taylor &amp; Francis/Balkema Group plc, London</w:t>
      </w:r>
      <w:r w:rsidRPr="00666831">
        <w:rPr>
          <w:rFonts w:asciiTheme="majorBidi" w:hAnsiTheme="majorBidi" w:cstheme="majorBidi"/>
          <w:sz w:val="22"/>
          <w:szCs w:val="22"/>
        </w:rPr>
        <w:t>, UK, 389</w:t>
      </w:r>
      <w:r w:rsidR="009A5E6F">
        <w:rPr>
          <w:rFonts w:asciiTheme="majorBidi" w:hAnsiTheme="majorBidi" w:cstheme="majorBidi"/>
          <w:sz w:val="22"/>
          <w:szCs w:val="22"/>
        </w:rPr>
        <w:t xml:space="preserve"> p</w:t>
      </w:r>
      <w:r w:rsidRPr="00666831">
        <w:rPr>
          <w:rFonts w:asciiTheme="majorBidi" w:hAnsiTheme="majorBidi" w:cstheme="majorBidi"/>
          <w:sz w:val="22"/>
          <w:szCs w:val="22"/>
        </w:rPr>
        <w:t>.</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Wang, J.; Cui, L.; Gao, W.; Shi, T.; Chen, Y.; and Gao, y. (2014). Prediction of low heavy metal concentrations in agricultural soils using visible and near-infrared reflectance spectroscopy. </w:t>
      </w:r>
      <w:r w:rsidRPr="00666831">
        <w:rPr>
          <w:rFonts w:asciiTheme="majorBidi" w:hAnsiTheme="majorBidi" w:cstheme="majorBidi"/>
          <w:i/>
          <w:iCs/>
          <w:sz w:val="22"/>
          <w:szCs w:val="22"/>
        </w:rPr>
        <w:t>Geoderma.</w:t>
      </w:r>
      <w:r w:rsidRPr="00666831">
        <w:rPr>
          <w:rFonts w:asciiTheme="majorBidi" w:hAnsiTheme="majorBidi" w:cstheme="majorBidi"/>
          <w:sz w:val="22"/>
          <w:szCs w:val="22"/>
        </w:rPr>
        <w:t xml:space="preserve"> 216: pp. 1-9.</w:t>
      </w:r>
    </w:p>
    <w:p w:rsid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Wedephol, K. H. (1995). The Composition of the Continental Crust. </w:t>
      </w:r>
      <w:r w:rsidRPr="00A56A9D">
        <w:rPr>
          <w:rFonts w:asciiTheme="majorBidi" w:hAnsiTheme="majorBidi" w:cstheme="majorBidi"/>
          <w:i/>
          <w:iCs/>
          <w:noProof/>
          <w:sz w:val="22"/>
          <w:szCs w:val="22"/>
        </w:rPr>
        <w:t>Geoch</w:t>
      </w:r>
      <w:r w:rsidR="00A56A9D" w:rsidRPr="00A56A9D">
        <w:rPr>
          <w:rFonts w:asciiTheme="majorBidi" w:hAnsiTheme="majorBidi" w:cstheme="majorBidi"/>
          <w:i/>
          <w:iCs/>
          <w:noProof/>
          <w:sz w:val="22"/>
          <w:szCs w:val="22"/>
        </w:rPr>
        <w:t>i</w:t>
      </w:r>
      <w:r w:rsidRPr="00A56A9D">
        <w:rPr>
          <w:rFonts w:asciiTheme="majorBidi" w:hAnsiTheme="majorBidi" w:cstheme="majorBidi"/>
          <w:i/>
          <w:iCs/>
          <w:noProof/>
          <w:sz w:val="22"/>
          <w:szCs w:val="22"/>
        </w:rPr>
        <w:t>mica</w:t>
      </w:r>
      <w:r w:rsidRPr="00666831">
        <w:rPr>
          <w:rFonts w:asciiTheme="majorBidi" w:hAnsiTheme="majorBidi" w:cstheme="majorBidi"/>
          <w:i/>
          <w:iCs/>
          <w:sz w:val="22"/>
          <w:szCs w:val="22"/>
        </w:rPr>
        <w:t xml:space="preserve"> et Cosmochimica Acta (Elsevier)</w:t>
      </w:r>
      <w:r w:rsidRPr="00666831">
        <w:rPr>
          <w:rFonts w:asciiTheme="majorBidi" w:hAnsiTheme="majorBidi" w:cstheme="majorBidi"/>
          <w:sz w:val="22"/>
          <w:szCs w:val="22"/>
        </w:rPr>
        <w:t>, 59, pp. 1217-1232.</w:t>
      </w:r>
    </w:p>
    <w:p w:rsidR="00AA1BD3" w:rsidRPr="00AA1BD3" w:rsidRDefault="00AA1BD3" w:rsidP="009A5E6F">
      <w:pPr>
        <w:pStyle w:val="ListParagraph"/>
        <w:numPr>
          <w:ilvl w:val="0"/>
          <w:numId w:val="28"/>
        </w:numPr>
        <w:spacing w:after="0"/>
        <w:jc w:val="both"/>
        <w:rPr>
          <w:rFonts w:asciiTheme="majorBidi" w:hAnsiTheme="majorBidi" w:cstheme="majorBidi"/>
          <w:sz w:val="22"/>
          <w:szCs w:val="22"/>
        </w:rPr>
      </w:pPr>
      <w:r w:rsidRPr="00AA1BD3">
        <w:rPr>
          <w:rFonts w:asciiTheme="majorBidi" w:hAnsiTheme="majorBidi" w:cstheme="majorBidi"/>
          <w:sz w:val="22"/>
          <w:szCs w:val="22"/>
        </w:rPr>
        <w:t>Yang, Z.; Lu</w:t>
      </w:r>
      <w:r w:rsidRPr="008E0E89">
        <w:rPr>
          <w:rFonts w:asciiTheme="majorBidi" w:hAnsiTheme="majorBidi" w:cstheme="majorBidi"/>
          <w:noProof/>
          <w:sz w:val="22"/>
          <w:szCs w:val="22"/>
        </w:rPr>
        <w:t>,W</w:t>
      </w:r>
      <w:r w:rsidRPr="00AA1BD3">
        <w:rPr>
          <w:rFonts w:asciiTheme="majorBidi" w:hAnsiTheme="majorBidi" w:cstheme="majorBidi"/>
          <w:sz w:val="22"/>
          <w:szCs w:val="22"/>
        </w:rPr>
        <w:t>.; Long, Y.; Bao, X.; Yang, Q. (2011) Assessment of heavy metals contamination in urban topsoil from Changchun City, China. Journal of Geochemical Exploration, 108,</w:t>
      </w:r>
      <w:r w:rsidR="009A5E6F">
        <w:rPr>
          <w:rFonts w:asciiTheme="majorBidi" w:hAnsiTheme="majorBidi" w:cstheme="majorBidi"/>
          <w:sz w:val="22"/>
          <w:szCs w:val="22"/>
        </w:rPr>
        <w:t xml:space="preserve"> pp.</w:t>
      </w:r>
      <w:r w:rsidRPr="00AA1BD3">
        <w:rPr>
          <w:rFonts w:asciiTheme="majorBidi" w:hAnsiTheme="majorBidi" w:cstheme="majorBidi"/>
          <w:sz w:val="22"/>
          <w:szCs w:val="22"/>
        </w:rPr>
        <w:t xml:space="preserve"> 27–38.</w:t>
      </w:r>
    </w:p>
    <w:p w:rsidR="00666831" w:rsidRPr="00666831" w:rsidRDefault="00666831" w:rsidP="00AA1BD3">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Zhao, H.; Xia, B.; Fan, C.; Zhao, P.; and Shen, S. (2012). Human health risk from soil heavy metal contamination under different land use near Dabaoshan Mine, Southern China. </w:t>
      </w:r>
      <w:r w:rsidRPr="00666831">
        <w:rPr>
          <w:rFonts w:asciiTheme="majorBidi" w:hAnsiTheme="majorBidi" w:cstheme="majorBidi"/>
          <w:i/>
          <w:iCs/>
          <w:sz w:val="22"/>
          <w:szCs w:val="22"/>
        </w:rPr>
        <w:t>Sci Total Environ</w:t>
      </w:r>
      <w:r w:rsidRPr="00666831">
        <w:rPr>
          <w:rFonts w:asciiTheme="majorBidi" w:hAnsiTheme="majorBidi" w:cstheme="majorBidi"/>
          <w:sz w:val="22"/>
          <w:szCs w:val="22"/>
        </w:rPr>
        <w:t>. 417-418: pp. 45-54.</w:t>
      </w:r>
    </w:p>
    <w:p w:rsidR="00666831" w:rsidRPr="00666831" w:rsidRDefault="00666831" w:rsidP="00322510">
      <w:pPr>
        <w:numPr>
          <w:ilvl w:val="0"/>
          <w:numId w:val="28"/>
        </w:numPr>
        <w:spacing w:after="0" w:line="240" w:lineRule="auto"/>
        <w:jc w:val="both"/>
        <w:rPr>
          <w:rFonts w:asciiTheme="majorBidi" w:hAnsiTheme="majorBidi" w:cstheme="majorBidi"/>
          <w:sz w:val="22"/>
          <w:szCs w:val="22"/>
        </w:rPr>
      </w:pPr>
      <w:r w:rsidRPr="00666831">
        <w:rPr>
          <w:rFonts w:asciiTheme="majorBidi" w:hAnsiTheme="majorBidi" w:cstheme="majorBidi"/>
          <w:sz w:val="22"/>
          <w:szCs w:val="22"/>
        </w:rPr>
        <w:t xml:space="preserve">Zou, K. H.; </w:t>
      </w:r>
      <w:r w:rsidRPr="008E0E89">
        <w:rPr>
          <w:rFonts w:asciiTheme="majorBidi" w:hAnsiTheme="majorBidi" w:cstheme="majorBidi"/>
          <w:noProof/>
          <w:sz w:val="22"/>
          <w:szCs w:val="22"/>
        </w:rPr>
        <w:t>Tuncal</w:t>
      </w:r>
      <w:r w:rsidR="008E0E89">
        <w:rPr>
          <w:rFonts w:asciiTheme="majorBidi" w:hAnsiTheme="majorBidi" w:cstheme="majorBidi"/>
          <w:noProof/>
          <w:sz w:val="22"/>
          <w:szCs w:val="22"/>
        </w:rPr>
        <w:t>i</w:t>
      </w:r>
      <w:r w:rsidRPr="00666831">
        <w:rPr>
          <w:rFonts w:asciiTheme="majorBidi" w:hAnsiTheme="majorBidi" w:cstheme="majorBidi"/>
          <w:sz w:val="22"/>
          <w:szCs w:val="22"/>
        </w:rPr>
        <w:t xml:space="preserve">, K.; Silverman, S. G. (2003). Correlation and Simple Linear Regression. </w:t>
      </w:r>
      <w:r w:rsidRPr="00666831">
        <w:rPr>
          <w:rFonts w:asciiTheme="majorBidi" w:hAnsiTheme="majorBidi" w:cstheme="majorBidi"/>
          <w:i/>
          <w:iCs/>
          <w:sz w:val="22"/>
          <w:szCs w:val="22"/>
        </w:rPr>
        <w:t>Radiology</w:t>
      </w:r>
      <w:r w:rsidRPr="00666831">
        <w:rPr>
          <w:rFonts w:asciiTheme="majorBidi" w:hAnsiTheme="majorBidi" w:cstheme="majorBidi"/>
          <w:sz w:val="22"/>
          <w:szCs w:val="22"/>
        </w:rPr>
        <w:t>, 227, pp. 617-628.</w:t>
      </w:r>
    </w:p>
    <w:p w:rsidR="00E211BB" w:rsidRPr="005911ED" w:rsidRDefault="00E211BB" w:rsidP="00322510">
      <w:pPr>
        <w:spacing w:after="0" w:line="240" w:lineRule="auto"/>
        <w:jc w:val="both"/>
        <w:rPr>
          <w:rFonts w:asciiTheme="majorBidi" w:hAnsiTheme="majorBidi"/>
          <w:sz w:val="22"/>
          <w:szCs w:val="22"/>
          <w:lang w:bidi="ar-IQ"/>
        </w:rPr>
      </w:pPr>
      <w:r w:rsidRPr="005911ED">
        <w:rPr>
          <w:rFonts w:asciiTheme="majorBidi" w:hAnsiTheme="majorBidi"/>
          <w:sz w:val="22"/>
          <w:szCs w:val="22"/>
          <w:lang w:bidi="ar-IQ"/>
        </w:rPr>
        <w:t xml:space="preserve"> </w:t>
      </w:r>
    </w:p>
    <w:p w:rsidR="00ED276F" w:rsidRDefault="00ED276F" w:rsidP="00A259B5">
      <w:pPr>
        <w:spacing w:line="360" w:lineRule="auto"/>
        <w:rPr>
          <w:rFonts w:asciiTheme="majorBidi" w:hAnsiTheme="majorBidi" w:cstheme="majorBidi"/>
          <w:sz w:val="28"/>
          <w:szCs w:val="28"/>
        </w:rPr>
      </w:pPr>
    </w:p>
    <w:sectPr w:rsidR="00ED276F" w:rsidSect="00690614">
      <w:headerReference w:type="default" r:id="rId17"/>
      <w:footerReference w:type="default" r:id="rId18"/>
      <w:headerReference w:type="first" r:id="rId19"/>
      <w:footerReference w:type="first" r:id="rId20"/>
      <w:pgSz w:w="11906" w:h="16838" w:code="9"/>
      <w:pgMar w:top="1166" w:right="1196" w:bottom="1166" w:left="1440" w:header="576" w:footer="432"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13B" w:rsidRDefault="00CC313B" w:rsidP="008662D0">
      <w:pPr>
        <w:spacing w:after="0" w:line="240" w:lineRule="auto"/>
      </w:pPr>
      <w:r>
        <w:separator/>
      </w:r>
    </w:p>
  </w:endnote>
  <w:endnote w:type="continuationSeparator" w:id="0">
    <w:p w:rsidR="00CC313B" w:rsidRDefault="00CC313B" w:rsidP="0086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163630"/>
      <w:docPartObj>
        <w:docPartGallery w:val="Page Numbers (Bottom of Page)"/>
        <w:docPartUnique/>
      </w:docPartObj>
    </w:sdtPr>
    <w:sdtEndPr>
      <w:rPr>
        <w:noProof/>
      </w:rPr>
    </w:sdtEndPr>
    <w:sdtContent>
      <w:p w:rsidR="00261629" w:rsidRDefault="00261629">
        <w:pPr>
          <w:pStyle w:val="Footer"/>
          <w:jc w:val="center"/>
        </w:pPr>
        <w:r>
          <w:fldChar w:fldCharType="begin"/>
        </w:r>
        <w:r>
          <w:instrText xml:space="preserve"> PAGE   \* MERGEFORMAT </w:instrText>
        </w:r>
        <w:r>
          <w:fldChar w:fldCharType="separate"/>
        </w:r>
        <w:r w:rsidR="00CC313B">
          <w:rPr>
            <w:noProof/>
          </w:rPr>
          <w:t>1</w:t>
        </w:r>
        <w:r>
          <w:rPr>
            <w:noProof/>
          </w:rPr>
          <w:fldChar w:fldCharType="end"/>
        </w:r>
      </w:p>
    </w:sdtContent>
  </w:sdt>
  <w:p w:rsidR="00261629" w:rsidRDefault="00261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535338"/>
      <w:docPartObj>
        <w:docPartGallery w:val="Page Numbers (Bottom of Page)"/>
        <w:docPartUnique/>
      </w:docPartObj>
    </w:sdtPr>
    <w:sdtEndPr/>
    <w:sdtContent>
      <w:p w:rsidR="00261629" w:rsidRDefault="002616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1629" w:rsidRDefault="00261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13B" w:rsidRDefault="00CC313B" w:rsidP="008662D0">
      <w:pPr>
        <w:spacing w:after="0" w:line="240" w:lineRule="auto"/>
      </w:pPr>
      <w:r>
        <w:separator/>
      </w:r>
    </w:p>
  </w:footnote>
  <w:footnote w:type="continuationSeparator" w:id="0">
    <w:p w:rsidR="00CC313B" w:rsidRDefault="00CC313B" w:rsidP="00866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629" w:rsidRPr="004166F7" w:rsidRDefault="00261629" w:rsidP="004166F7">
    <w:pPr>
      <w:pStyle w:val="Header"/>
      <w:pBdr>
        <w:bottom w:val="single" w:sz="4" w:space="8" w:color="4472C4" w:themeColor="accent1"/>
      </w:pBdr>
      <w:spacing w:after="360"/>
      <w:contextualSpacing/>
      <w:rPr>
        <w:rFonts w:asciiTheme="majorBidi" w:hAnsiTheme="majorBidi" w:cstheme="majorBidi"/>
        <w:b/>
        <w:bCs/>
        <w:i/>
        <w:iCs/>
        <w:color w:val="404040" w:themeColor="text1" w:themeTint="BF"/>
      </w:rPr>
    </w:pPr>
    <w:r>
      <w:rPr>
        <w:rFonts w:asciiTheme="majorBidi" w:hAnsiTheme="majorBidi" w:cstheme="majorBidi"/>
        <w:b/>
        <w:bCs/>
        <w:i/>
        <w:iCs/>
        <w:color w:val="404040" w:themeColor="text1" w:themeTint="BF"/>
      </w:rPr>
      <w:t>Ecological Indices of the Heavy Metals in the</w:t>
    </w:r>
    <w:r w:rsidRPr="00CD5183">
      <w:rPr>
        <w:rFonts w:asciiTheme="majorBidi" w:hAnsiTheme="majorBidi" w:cstheme="majorBidi"/>
        <w:b/>
        <w:bCs/>
        <w:i/>
        <w:iCs/>
        <w:color w:val="404040" w:themeColor="text1" w:themeTint="BF"/>
      </w:rPr>
      <w:t xml:space="preserve"> </w:t>
    </w:r>
    <w:r>
      <w:rPr>
        <w:rFonts w:asciiTheme="majorBidi" w:hAnsiTheme="majorBidi" w:cstheme="majorBidi"/>
        <w:b/>
        <w:bCs/>
        <w:i/>
        <w:iCs/>
        <w:color w:val="404040" w:themeColor="text1" w:themeTint="BF"/>
      </w:rPr>
      <w:t>Soil of Shewasoor Sub-Basin, Kirkuk/ NE Iraq</w:t>
    </w:r>
  </w:p>
  <w:p w:rsidR="00261629" w:rsidRDefault="00261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629" w:rsidRPr="001A13E9" w:rsidRDefault="00261629" w:rsidP="0029406D">
    <w:pPr>
      <w:pStyle w:val="Header"/>
      <w:pBdr>
        <w:bottom w:val="single" w:sz="4" w:space="8" w:color="4472C4" w:themeColor="accent1"/>
      </w:pBdr>
      <w:spacing w:after="360"/>
      <w:contextualSpacing/>
      <w:rPr>
        <w:rFonts w:asciiTheme="majorBidi" w:hAnsiTheme="majorBidi" w:cstheme="majorBidi"/>
        <w:i/>
        <w:iCs/>
        <w:color w:val="404040" w:themeColor="text1" w:themeTint="BF"/>
      </w:rPr>
    </w:pPr>
    <w:r>
      <w:rPr>
        <w:rFonts w:asciiTheme="majorBidi" w:hAnsiTheme="majorBidi" w:cstheme="majorBidi"/>
        <w:i/>
        <w:iCs/>
        <w:color w:val="404040" w:themeColor="text1" w:themeTint="BF"/>
      </w:rPr>
      <w:t>Ecological Assessment of Heavy Metals in Shewasoor’s Sub-Basin Soil, Kirkuk/ NE Iraq</w:t>
    </w:r>
  </w:p>
  <w:p w:rsidR="00261629" w:rsidRDefault="00261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CD8"/>
      </v:shape>
    </w:pict>
  </w:numPicBullet>
  <w:abstractNum w:abstractNumId="0" w15:restartNumberingAfterBreak="0">
    <w:nsid w:val="03B269F8"/>
    <w:multiLevelType w:val="hybridMultilevel"/>
    <w:tmpl w:val="2618C5CA"/>
    <w:lvl w:ilvl="0" w:tplc="B1708B08">
      <w:start w:val="3"/>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41478"/>
    <w:multiLevelType w:val="hybridMultilevel"/>
    <w:tmpl w:val="CB46D01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C250F4D"/>
    <w:multiLevelType w:val="hybridMultilevel"/>
    <w:tmpl w:val="351E15F4"/>
    <w:lvl w:ilvl="0" w:tplc="7AFCA0BA">
      <w:start w:val="1"/>
      <w:numFmt w:val="decimal"/>
      <w:lvlText w:val="%1)"/>
      <w:lvlJc w:val="left"/>
      <w:pPr>
        <w:ind w:left="90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0D979BF"/>
    <w:multiLevelType w:val="hybridMultilevel"/>
    <w:tmpl w:val="EB1AF2FE"/>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175E2FA2"/>
    <w:multiLevelType w:val="hybridMultilevel"/>
    <w:tmpl w:val="FE0EE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E079A"/>
    <w:multiLevelType w:val="hybridMultilevel"/>
    <w:tmpl w:val="1E2AA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C0752"/>
    <w:multiLevelType w:val="hybridMultilevel"/>
    <w:tmpl w:val="8BDAD412"/>
    <w:lvl w:ilvl="0" w:tplc="1F6A8408">
      <w:start w:val="3"/>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803C4"/>
    <w:multiLevelType w:val="hybridMultilevel"/>
    <w:tmpl w:val="46405B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E0753"/>
    <w:multiLevelType w:val="multilevel"/>
    <w:tmpl w:val="6666E9FE"/>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82209D"/>
    <w:multiLevelType w:val="multilevel"/>
    <w:tmpl w:val="CE7624B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94016F"/>
    <w:multiLevelType w:val="hybridMultilevel"/>
    <w:tmpl w:val="3954A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B4E04"/>
    <w:multiLevelType w:val="hybridMultilevel"/>
    <w:tmpl w:val="F638467A"/>
    <w:lvl w:ilvl="0" w:tplc="30BE38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046AF"/>
    <w:multiLevelType w:val="hybridMultilevel"/>
    <w:tmpl w:val="C4DE0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81CF2"/>
    <w:multiLevelType w:val="hybridMultilevel"/>
    <w:tmpl w:val="07686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2E516A"/>
    <w:multiLevelType w:val="hybridMultilevel"/>
    <w:tmpl w:val="2ED63B00"/>
    <w:lvl w:ilvl="0" w:tplc="EDC0936C">
      <w:start w:val="90"/>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E5E96"/>
    <w:multiLevelType w:val="hybridMultilevel"/>
    <w:tmpl w:val="5E96FCC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9413C"/>
    <w:multiLevelType w:val="multilevel"/>
    <w:tmpl w:val="D6BC663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5785236"/>
    <w:multiLevelType w:val="hybridMultilevel"/>
    <w:tmpl w:val="39028EDC"/>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15:restartNumberingAfterBreak="0">
    <w:nsid w:val="49DB2DC3"/>
    <w:multiLevelType w:val="hybridMultilevel"/>
    <w:tmpl w:val="9C4A39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D16D1"/>
    <w:multiLevelType w:val="hybridMultilevel"/>
    <w:tmpl w:val="173844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9629B"/>
    <w:multiLevelType w:val="multilevel"/>
    <w:tmpl w:val="4FB4153A"/>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6C661C"/>
    <w:multiLevelType w:val="multilevel"/>
    <w:tmpl w:val="2C32E822"/>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DEF5366"/>
    <w:multiLevelType w:val="hybridMultilevel"/>
    <w:tmpl w:val="CB6A2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E3AAE"/>
    <w:multiLevelType w:val="hybridMultilevel"/>
    <w:tmpl w:val="0E6E11A2"/>
    <w:lvl w:ilvl="0" w:tplc="0EA66C1C">
      <w:start w:val="90"/>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3A3548"/>
    <w:multiLevelType w:val="hybridMultilevel"/>
    <w:tmpl w:val="65C24AEA"/>
    <w:lvl w:ilvl="0" w:tplc="139CA4C4">
      <w:start w:val="90"/>
      <w:numFmt w:val="bullet"/>
      <w:lvlText w:val=""/>
      <w:lvlJc w:val="left"/>
      <w:pPr>
        <w:ind w:left="435" w:hanging="360"/>
      </w:pPr>
      <w:rPr>
        <w:rFonts w:ascii="Symbol" w:eastAsiaTheme="minorEastAsia" w:hAnsi="Symbol" w:cstheme="maj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6233145C"/>
    <w:multiLevelType w:val="multilevel"/>
    <w:tmpl w:val="7B54C8DA"/>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9535260"/>
    <w:multiLevelType w:val="hybridMultilevel"/>
    <w:tmpl w:val="D466E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A3C61"/>
    <w:multiLevelType w:val="hybridMultilevel"/>
    <w:tmpl w:val="055E3A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403D1"/>
    <w:multiLevelType w:val="hybridMultilevel"/>
    <w:tmpl w:val="469646EE"/>
    <w:lvl w:ilvl="0" w:tplc="CE74F28A">
      <w:start w:val="2"/>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65FD3"/>
    <w:multiLevelType w:val="hybridMultilevel"/>
    <w:tmpl w:val="C1ECE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804597"/>
    <w:multiLevelType w:val="hybridMultilevel"/>
    <w:tmpl w:val="647C58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F5604"/>
    <w:multiLevelType w:val="hybridMultilevel"/>
    <w:tmpl w:val="2132C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
  </w:num>
  <w:num w:numId="3">
    <w:abstractNumId w:val="16"/>
  </w:num>
  <w:num w:numId="4">
    <w:abstractNumId w:val="25"/>
  </w:num>
  <w:num w:numId="5">
    <w:abstractNumId w:val="10"/>
  </w:num>
  <w:num w:numId="6">
    <w:abstractNumId w:val="12"/>
  </w:num>
  <w:num w:numId="7">
    <w:abstractNumId w:val="17"/>
  </w:num>
  <w:num w:numId="8">
    <w:abstractNumId w:val="7"/>
  </w:num>
  <w:num w:numId="9">
    <w:abstractNumId w:val="2"/>
  </w:num>
  <w:num w:numId="10">
    <w:abstractNumId w:val="3"/>
  </w:num>
  <w:num w:numId="11">
    <w:abstractNumId w:val="18"/>
  </w:num>
  <w:num w:numId="12">
    <w:abstractNumId w:val="19"/>
  </w:num>
  <w:num w:numId="13">
    <w:abstractNumId w:val="26"/>
  </w:num>
  <w:num w:numId="14">
    <w:abstractNumId w:val="27"/>
  </w:num>
  <w:num w:numId="15">
    <w:abstractNumId w:val="31"/>
  </w:num>
  <w:num w:numId="16">
    <w:abstractNumId w:val="13"/>
  </w:num>
  <w:num w:numId="17">
    <w:abstractNumId w:val="5"/>
  </w:num>
  <w:num w:numId="18">
    <w:abstractNumId w:val="22"/>
  </w:num>
  <w:num w:numId="19">
    <w:abstractNumId w:val="1"/>
  </w:num>
  <w:num w:numId="20">
    <w:abstractNumId w:val="4"/>
  </w:num>
  <w:num w:numId="21">
    <w:abstractNumId w:val="28"/>
  </w:num>
  <w:num w:numId="22">
    <w:abstractNumId w:val="30"/>
  </w:num>
  <w:num w:numId="23">
    <w:abstractNumId w:val="0"/>
  </w:num>
  <w:num w:numId="24">
    <w:abstractNumId w:val="6"/>
  </w:num>
  <w:num w:numId="25">
    <w:abstractNumId w:val="23"/>
  </w:num>
  <w:num w:numId="26">
    <w:abstractNumId w:val="14"/>
  </w:num>
  <w:num w:numId="27">
    <w:abstractNumId w:val="24"/>
  </w:num>
  <w:num w:numId="28">
    <w:abstractNumId w:val="15"/>
  </w:num>
  <w:num w:numId="29">
    <w:abstractNumId w:val="8"/>
  </w:num>
  <w:num w:numId="30">
    <w:abstractNumId w:val="8"/>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9"/>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3MrcwNDGxMDAwNTJU0lEKTi0uzszPAykwtqgFADkdeqotAAAA"/>
  </w:docVars>
  <w:rsids>
    <w:rsidRoot w:val="00A107CC"/>
    <w:rsid w:val="00001DD5"/>
    <w:rsid w:val="00002135"/>
    <w:rsid w:val="000025D0"/>
    <w:rsid w:val="000030B4"/>
    <w:rsid w:val="00006AB6"/>
    <w:rsid w:val="0001112B"/>
    <w:rsid w:val="00012029"/>
    <w:rsid w:val="00012D7E"/>
    <w:rsid w:val="00014DE4"/>
    <w:rsid w:val="00016CA0"/>
    <w:rsid w:val="000206B4"/>
    <w:rsid w:val="00021212"/>
    <w:rsid w:val="000226B6"/>
    <w:rsid w:val="00024368"/>
    <w:rsid w:val="00025FF4"/>
    <w:rsid w:val="000305C9"/>
    <w:rsid w:val="00034266"/>
    <w:rsid w:val="000343EA"/>
    <w:rsid w:val="000345B9"/>
    <w:rsid w:val="000409E2"/>
    <w:rsid w:val="00042169"/>
    <w:rsid w:val="00044A09"/>
    <w:rsid w:val="00050076"/>
    <w:rsid w:val="00050D7F"/>
    <w:rsid w:val="00050E71"/>
    <w:rsid w:val="0005313D"/>
    <w:rsid w:val="00054195"/>
    <w:rsid w:val="000548D8"/>
    <w:rsid w:val="00054BF4"/>
    <w:rsid w:val="00055B5D"/>
    <w:rsid w:val="00055EB6"/>
    <w:rsid w:val="000603A6"/>
    <w:rsid w:val="00061034"/>
    <w:rsid w:val="0006172B"/>
    <w:rsid w:val="00062E3C"/>
    <w:rsid w:val="000631F0"/>
    <w:rsid w:val="00063619"/>
    <w:rsid w:val="00065BAA"/>
    <w:rsid w:val="00066154"/>
    <w:rsid w:val="000661B1"/>
    <w:rsid w:val="000668C0"/>
    <w:rsid w:val="00066F7C"/>
    <w:rsid w:val="00071761"/>
    <w:rsid w:val="00073777"/>
    <w:rsid w:val="00074179"/>
    <w:rsid w:val="00077AC5"/>
    <w:rsid w:val="0008049A"/>
    <w:rsid w:val="00080515"/>
    <w:rsid w:val="00083068"/>
    <w:rsid w:val="00083738"/>
    <w:rsid w:val="00083CEF"/>
    <w:rsid w:val="00090301"/>
    <w:rsid w:val="00093AF5"/>
    <w:rsid w:val="000949C3"/>
    <w:rsid w:val="00095375"/>
    <w:rsid w:val="00095F62"/>
    <w:rsid w:val="00096537"/>
    <w:rsid w:val="000A068C"/>
    <w:rsid w:val="000A1163"/>
    <w:rsid w:val="000A134A"/>
    <w:rsid w:val="000A1E1A"/>
    <w:rsid w:val="000A279B"/>
    <w:rsid w:val="000A3252"/>
    <w:rsid w:val="000A3B43"/>
    <w:rsid w:val="000A4CEA"/>
    <w:rsid w:val="000A7C0D"/>
    <w:rsid w:val="000B397F"/>
    <w:rsid w:val="000B51D9"/>
    <w:rsid w:val="000B5652"/>
    <w:rsid w:val="000B5C4B"/>
    <w:rsid w:val="000C1048"/>
    <w:rsid w:val="000C35C5"/>
    <w:rsid w:val="000C428C"/>
    <w:rsid w:val="000C5ED6"/>
    <w:rsid w:val="000D4DA6"/>
    <w:rsid w:val="000D65EE"/>
    <w:rsid w:val="000E0F12"/>
    <w:rsid w:val="000E3E3D"/>
    <w:rsid w:val="000E4C9C"/>
    <w:rsid w:val="000E4CBE"/>
    <w:rsid w:val="000E512A"/>
    <w:rsid w:val="000F4152"/>
    <w:rsid w:val="000F43B4"/>
    <w:rsid w:val="000F6D7D"/>
    <w:rsid w:val="00100331"/>
    <w:rsid w:val="0010054F"/>
    <w:rsid w:val="001016C4"/>
    <w:rsid w:val="001044F2"/>
    <w:rsid w:val="001063A6"/>
    <w:rsid w:val="001065B5"/>
    <w:rsid w:val="001108F5"/>
    <w:rsid w:val="0011147D"/>
    <w:rsid w:val="001160A9"/>
    <w:rsid w:val="00117895"/>
    <w:rsid w:val="00117FE5"/>
    <w:rsid w:val="0012179B"/>
    <w:rsid w:val="00121ABD"/>
    <w:rsid w:val="00121B86"/>
    <w:rsid w:val="001222C9"/>
    <w:rsid w:val="00122893"/>
    <w:rsid w:val="001240F3"/>
    <w:rsid w:val="00124C51"/>
    <w:rsid w:val="0012769E"/>
    <w:rsid w:val="001301F3"/>
    <w:rsid w:val="0013176B"/>
    <w:rsid w:val="00133017"/>
    <w:rsid w:val="00135716"/>
    <w:rsid w:val="00135D97"/>
    <w:rsid w:val="00137D81"/>
    <w:rsid w:val="001414C4"/>
    <w:rsid w:val="00141D39"/>
    <w:rsid w:val="001447C1"/>
    <w:rsid w:val="0014509B"/>
    <w:rsid w:val="001459BA"/>
    <w:rsid w:val="00145AAC"/>
    <w:rsid w:val="00145E30"/>
    <w:rsid w:val="0015181B"/>
    <w:rsid w:val="001528C0"/>
    <w:rsid w:val="00152A8F"/>
    <w:rsid w:val="00160856"/>
    <w:rsid w:val="00163784"/>
    <w:rsid w:val="00163877"/>
    <w:rsid w:val="00165A5E"/>
    <w:rsid w:val="001673FA"/>
    <w:rsid w:val="001767E3"/>
    <w:rsid w:val="001810E1"/>
    <w:rsid w:val="00182813"/>
    <w:rsid w:val="00183358"/>
    <w:rsid w:val="00183BF3"/>
    <w:rsid w:val="00183E4F"/>
    <w:rsid w:val="00187578"/>
    <w:rsid w:val="00187AFE"/>
    <w:rsid w:val="00192BA1"/>
    <w:rsid w:val="00194C57"/>
    <w:rsid w:val="001A00E0"/>
    <w:rsid w:val="001A13E9"/>
    <w:rsid w:val="001A2860"/>
    <w:rsid w:val="001A63FB"/>
    <w:rsid w:val="001B1364"/>
    <w:rsid w:val="001B1BC2"/>
    <w:rsid w:val="001B1D43"/>
    <w:rsid w:val="001B1FB4"/>
    <w:rsid w:val="001B3978"/>
    <w:rsid w:val="001B3CD1"/>
    <w:rsid w:val="001B688A"/>
    <w:rsid w:val="001B6E9C"/>
    <w:rsid w:val="001B765C"/>
    <w:rsid w:val="001B79A1"/>
    <w:rsid w:val="001B7FBB"/>
    <w:rsid w:val="001C0139"/>
    <w:rsid w:val="001C1170"/>
    <w:rsid w:val="001C190E"/>
    <w:rsid w:val="001C7442"/>
    <w:rsid w:val="001C7595"/>
    <w:rsid w:val="001D0FEA"/>
    <w:rsid w:val="001D2ACB"/>
    <w:rsid w:val="001D3183"/>
    <w:rsid w:val="001D3392"/>
    <w:rsid w:val="001D4413"/>
    <w:rsid w:val="001D475F"/>
    <w:rsid w:val="001D4E71"/>
    <w:rsid w:val="001D5741"/>
    <w:rsid w:val="001D613B"/>
    <w:rsid w:val="001D67BE"/>
    <w:rsid w:val="001D70D4"/>
    <w:rsid w:val="001D749E"/>
    <w:rsid w:val="001D7BF2"/>
    <w:rsid w:val="001E148B"/>
    <w:rsid w:val="001E4201"/>
    <w:rsid w:val="001E4EB9"/>
    <w:rsid w:val="001E577C"/>
    <w:rsid w:val="001E79A3"/>
    <w:rsid w:val="001F03B8"/>
    <w:rsid w:val="001F384B"/>
    <w:rsid w:val="001F4329"/>
    <w:rsid w:val="001F44F2"/>
    <w:rsid w:val="001F58DC"/>
    <w:rsid w:val="001F6A94"/>
    <w:rsid w:val="00211201"/>
    <w:rsid w:val="00212308"/>
    <w:rsid w:val="00213E05"/>
    <w:rsid w:val="002145CF"/>
    <w:rsid w:val="00216679"/>
    <w:rsid w:val="00216FB6"/>
    <w:rsid w:val="002206B5"/>
    <w:rsid w:val="00220997"/>
    <w:rsid w:val="002214CC"/>
    <w:rsid w:val="00222179"/>
    <w:rsid w:val="002232BF"/>
    <w:rsid w:val="00223495"/>
    <w:rsid w:val="00223F0A"/>
    <w:rsid w:val="00224C8C"/>
    <w:rsid w:val="002302B2"/>
    <w:rsid w:val="0023056B"/>
    <w:rsid w:val="00232002"/>
    <w:rsid w:val="00233250"/>
    <w:rsid w:val="00234BAE"/>
    <w:rsid w:val="0023710A"/>
    <w:rsid w:val="002426FB"/>
    <w:rsid w:val="002427C1"/>
    <w:rsid w:val="002470AD"/>
    <w:rsid w:val="00247DFA"/>
    <w:rsid w:val="0025122C"/>
    <w:rsid w:val="0025429F"/>
    <w:rsid w:val="00255869"/>
    <w:rsid w:val="002568D5"/>
    <w:rsid w:val="00257ED4"/>
    <w:rsid w:val="00260A9D"/>
    <w:rsid w:val="00261629"/>
    <w:rsid w:val="00262043"/>
    <w:rsid w:val="00262BD3"/>
    <w:rsid w:val="00264FCF"/>
    <w:rsid w:val="0026626B"/>
    <w:rsid w:val="00266EFE"/>
    <w:rsid w:val="00267C72"/>
    <w:rsid w:val="00272AD3"/>
    <w:rsid w:val="00273A8C"/>
    <w:rsid w:val="00274806"/>
    <w:rsid w:val="00274A8C"/>
    <w:rsid w:val="002779F0"/>
    <w:rsid w:val="0028003D"/>
    <w:rsid w:val="00280A8A"/>
    <w:rsid w:val="00280ACB"/>
    <w:rsid w:val="002810DE"/>
    <w:rsid w:val="00283231"/>
    <w:rsid w:val="00283BA7"/>
    <w:rsid w:val="002865CD"/>
    <w:rsid w:val="00286FB7"/>
    <w:rsid w:val="00291D3A"/>
    <w:rsid w:val="00292ABB"/>
    <w:rsid w:val="00293F78"/>
    <w:rsid w:val="0029406D"/>
    <w:rsid w:val="002946F1"/>
    <w:rsid w:val="002A133C"/>
    <w:rsid w:val="002A21F7"/>
    <w:rsid w:val="002A2FC7"/>
    <w:rsid w:val="002A30B4"/>
    <w:rsid w:val="002A457C"/>
    <w:rsid w:val="002A57F0"/>
    <w:rsid w:val="002A59B2"/>
    <w:rsid w:val="002A6E1D"/>
    <w:rsid w:val="002A7A81"/>
    <w:rsid w:val="002B01CC"/>
    <w:rsid w:val="002B2A22"/>
    <w:rsid w:val="002B3F31"/>
    <w:rsid w:val="002B4FF4"/>
    <w:rsid w:val="002B53BB"/>
    <w:rsid w:val="002B6D25"/>
    <w:rsid w:val="002C2F56"/>
    <w:rsid w:val="002C376D"/>
    <w:rsid w:val="002D117D"/>
    <w:rsid w:val="002D153B"/>
    <w:rsid w:val="002D1C9C"/>
    <w:rsid w:val="002D6146"/>
    <w:rsid w:val="002E1736"/>
    <w:rsid w:val="002E5729"/>
    <w:rsid w:val="002F1DD4"/>
    <w:rsid w:val="002F27BB"/>
    <w:rsid w:val="002F4167"/>
    <w:rsid w:val="002F46C3"/>
    <w:rsid w:val="002F4A98"/>
    <w:rsid w:val="002F764C"/>
    <w:rsid w:val="003004E6"/>
    <w:rsid w:val="003015D2"/>
    <w:rsid w:val="00301F96"/>
    <w:rsid w:val="003035E2"/>
    <w:rsid w:val="003038DF"/>
    <w:rsid w:val="00303DDF"/>
    <w:rsid w:val="003060CF"/>
    <w:rsid w:val="0030795C"/>
    <w:rsid w:val="00307A6E"/>
    <w:rsid w:val="00313B37"/>
    <w:rsid w:val="00313E7F"/>
    <w:rsid w:val="00314D42"/>
    <w:rsid w:val="00315388"/>
    <w:rsid w:val="00316E18"/>
    <w:rsid w:val="00321CBC"/>
    <w:rsid w:val="003223AC"/>
    <w:rsid w:val="0032250F"/>
    <w:rsid w:val="00322510"/>
    <w:rsid w:val="003277B2"/>
    <w:rsid w:val="00327BCE"/>
    <w:rsid w:val="00327D7F"/>
    <w:rsid w:val="003346D7"/>
    <w:rsid w:val="00334D2A"/>
    <w:rsid w:val="00335D03"/>
    <w:rsid w:val="00336DC4"/>
    <w:rsid w:val="00337942"/>
    <w:rsid w:val="00337A40"/>
    <w:rsid w:val="003414EB"/>
    <w:rsid w:val="00341A5A"/>
    <w:rsid w:val="003435E8"/>
    <w:rsid w:val="003476F4"/>
    <w:rsid w:val="00352332"/>
    <w:rsid w:val="003601C9"/>
    <w:rsid w:val="00363268"/>
    <w:rsid w:val="003677F4"/>
    <w:rsid w:val="00371029"/>
    <w:rsid w:val="00371B21"/>
    <w:rsid w:val="00373600"/>
    <w:rsid w:val="00373930"/>
    <w:rsid w:val="00376A6B"/>
    <w:rsid w:val="00376CFF"/>
    <w:rsid w:val="00380053"/>
    <w:rsid w:val="00380643"/>
    <w:rsid w:val="00382C78"/>
    <w:rsid w:val="00383666"/>
    <w:rsid w:val="00383C04"/>
    <w:rsid w:val="0038525D"/>
    <w:rsid w:val="00385BAF"/>
    <w:rsid w:val="00386719"/>
    <w:rsid w:val="003868DA"/>
    <w:rsid w:val="00390771"/>
    <w:rsid w:val="003927E5"/>
    <w:rsid w:val="00393805"/>
    <w:rsid w:val="00397DA1"/>
    <w:rsid w:val="003A1B94"/>
    <w:rsid w:val="003A2023"/>
    <w:rsid w:val="003A3D67"/>
    <w:rsid w:val="003A44B3"/>
    <w:rsid w:val="003B05E6"/>
    <w:rsid w:val="003B1DE8"/>
    <w:rsid w:val="003B2D61"/>
    <w:rsid w:val="003B3DAA"/>
    <w:rsid w:val="003B4E46"/>
    <w:rsid w:val="003B4F77"/>
    <w:rsid w:val="003B5AE7"/>
    <w:rsid w:val="003B6CDA"/>
    <w:rsid w:val="003C0BAF"/>
    <w:rsid w:val="003C2BA5"/>
    <w:rsid w:val="003C6FAD"/>
    <w:rsid w:val="003D2F22"/>
    <w:rsid w:val="003D5095"/>
    <w:rsid w:val="003D5DB3"/>
    <w:rsid w:val="003D62EB"/>
    <w:rsid w:val="003D646F"/>
    <w:rsid w:val="003D7276"/>
    <w:rsid w:val="003E1078"/>
    <w:rsid w:val="003E26F2"/>
    <w:rsid w:val="003E28DC"/>
    <w:rsid w:val="003E57DF"/>
    <w:rsid w:val="003E7E79"/>
    <w:rsid w:val="003F0B23"/>
    <w:rsid w:val="003F52DE"/>
    <w:rsid w:val="003F6585"/>
    <w:rsid w:val="00402022"/>
    <w:rsid w:val="004035FC"/>
    <w:rsid w:val="00405305"/>
    <w:rsid w:val="004055E3"/>
    <w:rsid w:val="00405F04"/>
    <w:rsid w:val="00410571"/>
    <w:rsid w:val="004111DF"/>
    <w:rsid w:val="00415915"/>
    <w:rsid w:val="004159B8"/>
    <w:rsid w:val="004166F7"/>
    <w:rsid w:val="00417207"/>
    <w:rsid w:val="004177DA"/>
    <w:rsid w:val="00421061"/>
    <w:rsid w:val="004237AA"/>
    <w:rsid w:val="00423926"/>
    <w:rsid w:val="00424657"/>
    <w:rsid w:val="00424A5D"/>
    <w:rsid w:val="00424AC9"/>
    <w:rsid w:val="00424B5C"/>
    <w:rsid w:val="00426359"/>
    <w:rsid w:val="0043327D"/>
    <w:rsid w:val="00434CF0"/>
    <w:rsid w:val="00434F8A"/>
    <w:rsid w:val="00435A32"/>
    <w:rsid w:val="00435CB1"/>
    <w:rsid w:val="004362BF"/>
    <w:rsid w:val="00437A01"/>
    <w:rsid w:val="00437E40"/>
    <w:rsid w:val="00437F44"/>
    <w:rsid w:val="00440C29"/>
    <w:rsid w:val="004428FC"/>
    <w:rsid w:val="00443ED8"/>
    <w:rsid w:val="00444F23"/>
    <w:rsid w:val="004463A2"/>
    <w:rsid w:val="004505E4"/>
    <w:rsid w:val="00451CB6"/>
    <w:rsid w:val="004529CB"/>
    <w:rsid w:val="00453487"/>
    <w:rsid w:val="004550C8"/>
    <w:rsid w:val="0045646F"/>
    <w:rsid w:val="00460F3C"/>
    <w:rsid w:val="004620ED"/>
    <w:rsid w:val="0046389A"/>
    <w:rsid w:val="00464589"/>
    <w:rsid w:val="00466340"/>
    <w:rsid w:val="00466420"/>
    <w:rsid w:val="0046731E"/>
    <w:rsid w:val="004674AE"/>
    <w:rsid w:val="004678DE"/>
    <w:rsid w:val="00471011"/>
    <w:rsid w:val="00471762"/>
    <w:rsid w:val="00471948"/>
    <w:rsid w:val="00472AD1"/>
    <w:rsid w:val="004740EC"/>
    <w:rsid w:val="00475363"/>
    <w:rsid w:val="00476C5F"/>
    <w:rsid w:val="00477EF7"/>
    <w:rsid w:val="00480D51"/>
    <w:rsid w:val="004812C9"/>
    <w:rsid w:val="00481C93"/>
    <w:rsid w:val="004845A4"/>
    <w:rsid w:val="00485226"/>
    <w:rsid w:val="00486457"/>
    <w:rsid w:val="00487D41"/>
    <w:rsid w:val="0049033D"/>
    <w:rsid w:val="00490E12"/>
    <w:rsid w:val="00491CC1"/>
    <w:rsid w:val="00492822"/>
    <w:rsid w:val="00493AF7"/>
    <w:rsid w:val="004A0FA8"/>
    <w:rsid w:val="004A2844"/>
    <w:rsid w:val="004A32E0"/>
    <w:rsid w:val="004A3724"/>
    <w:rsid w:val="004A5637"/>
    <w:rsid w:val="004A57A0"/>
    <w:rsid w:val="004A5C76"/>
    <w:rsid w:val="004A6B4A"/>
    <w:rsid w:val="004A77C0"/>
    <w:rsid w:val="004B074F"/>
    <w:rsid w:val="004B0DEA"/>
    <w:rsid w:val="004B25FF"/>
    <w:rsid w:val="004B3DC7"/>
    <w:rsid w:val="004B4D80"/>
    <w:rsid w:val="004B65AB"/>
    <w:rsid w:val="004B7158"/>
    <w:rsid w:val="004C4536"/>
    <w:rsid w:val="004C56A1"/>
    <w:rsid w:val="004C77C0"/>
    <w:rsid w:val="004D1AF1"/>
    <w:rsid w:val="004D3384"/>
    <w:rsid w:val="004D46B6"/>
    <w:rsid w:val="004D5AAF"/>
    <w:rsid w:val="004D5CEC"/>
    <w:rsid w:val="004E2F9E"/>
    <w:rsid w:val="004E32FD"/>
    <w:rsid w:val="004E55F1"/>
    <w:rsid w:val="004E5D50"/>
    <w:rsid w:val="004F002E"/>
    <w:rsid w:val="004F19F8"/>
    <w:rsid w:val="004F1DAB"/>
    <w:rsid w:val="004F1E47"/>
    <w:rsid w:val="004F2C54"/>
    <w:rsid w:val="004F3246"/>
    <w:rsid w:val="004F45D3"/>
    <w:rsid w:val="004F5488"/>
    <w:rsid w:val="004F6CD5"/>
    <w:rsid w:val="004F71C5"/>
    <w:rsid w:val="005041BE"/>
    <w:rsid w:val="0050501B"/>
    <w:rsid w:val="0051163F"/>
    <w:rsid w:val="0051534B"/>
    <w:rsid w:val="005160AC"/>
    <w:rsid w:val="005163FD"/>
    <w:rsid w:val="005176C4"/>
    <w:rsid w:val="00520AB1"/>
    <w:rsid w:val="005213D9"/>
    <w:rsid w:val="00526606"/>
    <w:rsid w:val="005270FE"/>
    <w:rsid w:val="00527850"/>
    <w:rsid w:val="00530FD5"/>
    <w:rsid w:val="005340D6"/>
    <w:rsid w:val="00536819"/>
    <w:rsid w:val="00537760"/>
    <w:rsid w:val="00541D3F"/>
    <w:rsid w:val="0054411B"/>
    <w:rsid w:val="00547C41"/>
    <w:rsid w:val="00552863"/>
    <w:rsid w:val="00552D14"/>
    <w:rsid w:val="0055520F"/>
    <w:rsid w:val="00556C91"/>
    <w:rsid w:val="0055771B"/>
    <w:rsid w:val="00560BDF"/>
    <w:rsid w:val="005635ED"/>
    <w:rsid w:val="00567194"/>
    <w:rsid w:val="005676D5"/>
    <w:rsid w:val="00570DA6"/>
    <w:rsid w:val="005725A8"/>
    <w:rsid w:val="00572BC4"/>
    <w:rsid w:val="0057789F"/>
    <w:rsid w:val="00577BF4"/>
    <w:rsid w:val="0058160B"/>
    <w:rsid w:val="00582580"/>
    <w:rsid w:val="00583378"/>
    <w:rsid w:val="0058740F"/>
    <w:rsid w:val="00587E89"/>
    <w:rsid w:val="005911ED"/>
    <w:rsid w:val="005926E1"/>
    <w:rsid w:val="00596018"/>
    <w:rsid w:val="00597166"/>
    <w:rsid w:val="005A3FEB"/>
    <w:rsid w:val="005A44BB"/>
    <w:rsid w:val="005A6398"/>
    <w:rsid w:val="005A6D93"/>
    <w:rsid w:val="005B1CA0"/>
    <w:rsid w:val="005B2683"/>
    <w:rsid w:val="005B305E"/>
    <w:rsid w:val="005B435C"/>
    <w:rsid w:val="005B717A"/>
    <w:rsid w:val="005C149C"/>
    <w:rsid w:val="005C3C94"/>
    <w:rsid w:val="005C56D9"/>
    <w:rsid w:val="005C637B"/>
    <w:rsid w:val="005C6D79"/>
    <w:rsid w:val="005C711D"/>
    <w:rsid w:val="005C7C77"/>
    <w:rsid w:val="005D2D6B"/>
    <w:rsid w:val="005D377E"/>
    <w:rsid w:val="005D42B4"/>
    <w:rsid w:val="005D4F43"/>
    <w:rsid w:val="005D5940"/>
    <w:rsid w:val="005D5985"/>
    <w:rsid w:val="005D6BCC"/>
    <w:rsid w:val="005D7FC5"/>
    <w:rsid w:val="005E2F9C"/>
    <w:rsid w:val="005F0D28"/>
    <w:rsid w:val="005F10CD"/>
    <w:rsid w:val="005F4CC5"/>
    <w:rsid w:val="005F67E2"/>
    <w:rsid w:val="00600C7E"/>
    <w:rsid w:val="00601411"/>
    <w:rsid w:val="006018BD"/>
    <w:rsid w:val="006022EB"/>
    <w:rsid w:val="00603D7A"/>
    <w:rsid w:val="006048B5"/>
    <w:rsid w:val="0061298A"/>
    <w:rsid w:val="00612ACF"/>
    <w:rsid w:val="00612EC9"/>
    <w:rsid w:val="00616262"/>
    <w:rsid w:val="00616717"/>
    <w:rsid w:val="0061694D"/>
    <w:rsid w:val="00616E4B"/>
    <w:rsid w:val="00617719"/>
    <w:rsid w:val="006177A7"/>
    <w:rsid w:val="00617D6D"/>
    <w:rsid w:val="00620CEF"/>
    <w:rsid w:val="00622860"/>
    <w:rsid w:val="00623132"/>
    <w:rsid w:val="0062618E"/>
    <w:rsid w:val="00626D7C"/>
    <w:rsid w:val="00630776"/>
    <w:rsid w:val="00630A3B"/>
    <w:rsid w:val="006339CC"/>
    <w:rsid w:val="00634BF0"/>
    <w:rsid w:val="00636A98"/>
    <w:rsid w:val="0064502A"/>
    <w:rsid w:val="00645DDD"/>
    <w:rsid w:val="00650548"/>
    <w:rsid w:val="00652B50"/>
    <w:rsid w:val="00653775"/>
    <w:rsid w:val="00653807"/>
    <w:rsid w:val="0065561D"/>
    <w:rsid w:val="006567A1"/>
    <w:rsid w:val="00656A88"/>
    <w:rsid w:val="00656AC4"/>
    <w:rsid w:val="006570EE"/>
    <w:rsid w:val="006578B8"/>
    <w:rsid w:val="006615F8"/>
    <w:rsid w:val="00664925"/>
    <w:rsid w:val="00664BCB"/>
    <w:rsid w:val="00664DB3"/>
    <w:rsid w:val="006652E9"/>
    <w:rsid w:val="00665920"/>
    <w:rsid w:val="00666831"/>
    <w:rsid w:val="006676FF"/>
    <w:rsid w:val="00673508"/>
    <w:rsid w:val="00673F75"/>
    <w:rsid w:val="00677D5E"/>
    <w:rsid w:val="00680D61"/>
    <w:rsid w:val="00680F46"/>
    <w:rsid w:val="00681CFA"/>
    <w:rsid w:val="006840F9"/>
    <w:rsid w:val="006855AE"/>
    <w:rsid w:val="006861EF"/>
    <w:rsid w:val="00690614"/>
    <w:rsid w:val="00690A2D"/>
    <w:rsid w:val="00691506"/>
    <w:rsid w:val="00691B29"/>
    <w:rsid w:val="00695913"/>
    <w:rsid w:val="006974AE"/>
    <w:rsid w:val="006A030A"/>
    <w:rsid w:val="006A6A9B"/>
    <w:rsid w:val="006A6BF8"/>
    <w:rsid w:val="006B40CB"/>
    <w:rsid w:val="006B51BD"/>
    <w:rsid w:val="006B5BE0"/>
    <w:rsid w:val="006B7DF9"/>
    <w:rsid w:val="006C1665"/>
    <w:rsid w:val="006C3243"/>
    <w:rsid w:val="006C42E7"/>
    <w:rsid w:val="006C4A67"/>
    <w:rsid w:val="006C5AE5"/>
    <w:rsid w:val="006C7294"/>
    <w:rsid w:val="006C7721"/>
    <w:rsid w:val="006D679B"/>
    <w:rsid w:val="006D7660"/>
    <w:rsid w:val="006E0544"/>
    <w:rsid w:val="006E06BF"/>
    <w:rsid w:val="006E089F"/>
    <w:rsid w:val="006E0D5A"/>
    <w:rsid w:val="006E114B"/>
    <w:rsid w:val="006E7DFC"/>
    <w:rsid w:val="006F000E"/>
    <w:rsid w:val="006F0908"/>
    <w:rsid w:val="006F1500"/>
    <w:rsid w:val="006F351B"/>
    <w:rsid w:val="006F39DE"/>
    <w:rsid w:val="006F4778"/>
    <w:rsid w:val="006F5373"/>
    <w:rsid w:val="006F6E40"/>
    <w:rsid w:val="006F7726"/>
    <w:rsid w:val="0070002D"/>
    <w:rsid w:val="0070027D"/>
    <w:rsid w:val="00700396"/>
    <w:rsid w:val="0070089D"/>
    <w:rsid w:val="00700D65"/>
    <w:rsid w:val="00701FAB"/>
    <w:rsid w:val="00702BDF"/>
    <w:rsid w:val="0070446B"/>
    <w:rsid w:val="00707EC1"/>
    <w:rsid w:val="007100EB"/>
    <w:rsid w:val="00712D5E"/>
    <w:rsid w:val="00721787"/>
    <w:rsid w:val="0072370C"/>
    <w:rsid w:val="00723DA2"/>
    <w:rsid w:val="00725437"/>
    <w:rsid w:val="00727712"/>
    <w:rsid w:val="00727B99"/>
    <w:rsid w:val="00730DA1"/>
    <w:rsid w:val="00731AF2"/>
    <w:rsid w:val="00732F33"/>
    <w:rsid w:val="0073327B"/>
    <w:rsid w:val="00733FC9"/>
    <w:rsid w:val="00734EC8"/>
    <w:rsid w:val="007352DE"/>
    <w:rsid w:val="00740049"/>
    <w:rsid w:val="007511DE"/>
    <w:rsid w:val="00754088"/>
    <w:rsid w:val="00755773"/>
    <w:rsid w:val="00755B63"/>
    <w:rsid w:val="00755B99"/>
    <w:rsid w:val="00755C78"/>
    <w:rsid w:val="007620A6"/>
    <w:rsid w:val="00762692"/>
    <w:rsid w:val="00767013"/>
    <w:rsid w:val="00767F24"/>
    <w:rsid w:val="007719D5"/>
    <w:rsid w:val="0077350C"/>
    <w:rsid w:val="007741C1"/>
    <w:rsid w:val="00780ACE"/>
    <w:rsid w:val="00780F99"/>
    <w:rsid w:val="007822B5"/>
    <w:rsid w:val="00784910"/>
    <w:rsid w:val="00791EB6"/>
    <w:rsid w:val="00797D8E"/>
    <w:rsid w:val="007A00D0"/>
    <w:rsid w:val="007A0DC6"/>
    <w:rsid w:val="007A1712"/>
    <w:rsid w:val="007A4B8E"/>
    <w:rsid w:val="007A4BA3"/>
    <w:rsid w:val="007A5D8A"/>
    <w:rsid w:val="007B0552"/>
    <w:rsid w:val="007B0D9A"/>
    <w:rsid w:val="007B3B08"/>
    <w:rsid w:val="007B598A"/>
    <w:rsid w:val="007B63D1"/>
    <w:rsid w:val="007C0C0B"/>
    <w:rsid w:val="007C59A7"/>
    <w:rsid w:val="007C60B2"/>
    <w:rsid w:val="007C62B9"/>
    <w:rsid w:val="007D17C9"/>
    <w:rsid w:val="007D5339"/>
    <w:rsid w:val="007D65A2"/>
    <w:rsid w:val="007E3F21"/>
    <w:rsid w:val="007F006F"/>
    <w:rsid w:val="007F020E"/>
    <w:rsid w:val="007F1864"/>
    <w:rsid w:val="007F370D"/>
    <w:rsid w:val="007F5349"/>
    <w:rsid w:val="007F6D6F"/>
    <w:rsid w:val="008005A5"/>
    <w:rsid w:val="008025F4"/>
    <w:rsid w:val="00805AF2"/>
    <w:rsid w:val="00810DFB"/>
    <w:rsid w:val="0081135A"/>
    <w:rsid w:val="0081525E"/>
    <w:rsid w:val="00822395"/>
    <w:rsid w:val="00825A6A"/>
    <w:rsid w:val="00826600"/>
    <w:rsid w:val="008328A3"/>
    <w:rsid w:val="00832F2A"/>
    <w:rsid w:val="0083333D"/>
    <w:rsid w:val="00833859"/>
    <w:rsid w:val="00840014"/>
    <w:rsid w:val="00841254"/>
    <w:rsid w:val="00841407"/>
    <w:rsid w:val="00842AF9"/>
    <w:rsid w:val="008443A3"/>
    <w:rsid w:val="00844AF6"/>
    <w:rsid w:val="0084521B"/>
    <w:rsid w:val="0084743B"/>
    <w:rsid w:val="008508C8"/>
    <w:rsid w:val="00850DCF"/>
    <w:rsid w:val="008538AA"/>
    <w:rsid w:val="00855922"/>
    <w:rsid w:val="00857E23"/>
    <w:rsid w:val="008600B3"/>
    <w:rsid w:val="008602E6"/>
    <w:rsid w:val="00860941"/>
    <w:rsid w:val="00860C3F"/>
    <w:rsid w:val="008616D6"/>
    <w:rsid w:val="00862518"/>
    <w:rsid w:val="008636F9"/>
    <w:rsid w:val="00865BCF"/>
    <w:rsid w:val="008662D0"/>
    <w:rsid w:val="008708BD"/>
    <w:rsid w:val="00872A72"/>
    <w:rsid w:val="00874EAD"/>
    <w:rsid w:val="00875CA1"/>
    <w:rsid w:val="00877608"/>
    <w:rsid w:val="008776E9"/>
    <w:rsid w:val="00881E3E"/>
    <w:rsid w:val="00882B16"/>
    <w:rsid w:val="008843CF"/>
    <w:rsid w:val="00884AEA"/>
    <w:rsid w:val="00887CE4"/>
    <w:rsid w:val="00890703"/>
    <w:rsid w:val="00891CBD"/>
    <w:rsid w:val="008960E4"/>
    <w:rsid w:val="0089611B"/>
    <w:rsid w:val="00896A26"/>
    <w:rsid w:val="00897326"/>
    <w:rsid w:val="008A0385"/>
    <w:rsid w:val="008A29FD"/>
    <w:rsid w:val="008A2E2A"/>
    <w:rsid w:val="008A33B3"/>
    <w:rsid w:val="008A4570"/>
    <w:rsid w:val="008A4BEF"/>
    <w:rsid w:val="008A53A1"/>
    <w:rsid w:val="008A735D"/>
    <w:rsid w:val="008B255C"/>
    <w:rsid w:val="008B29AC"/>
    <w:rsid w:val="008B45C3"/>
    <w:rsid w:val="008B6FF9"/>
    <w:rsid w:val="008C1CBF"/>
    <w:rsid w:val="008C26AB"/>
    <w:rsid w:val="008C287B"/>
    <w:rsid w:val="008C4EC3"/>
    <w:rsid w:val="008C6A5B"/>
    <w:rsid w:val="008D24D5"/>
    <w:rsid w:val="008D36E6"/>
    <w:rsid w:val="008D3C40"/>
    <w:rsid w:val="008D7E10"/>
    <w:rsid w:val="008E08DF"/>
    <w:rsid w:val="008E0E89"/>
    <w:rsid w:val="008E1472"/>
    <w:rsid w:val="008E263B"/>
    <w:rsid w:val="008E2CE8"/>
    <w:rsid w:val="008F1131"/>
    <w:rsid w:val="00900840"/>
    <w:rsid w:val="00902870"/>
    <w:rsid w:val="00902B6D"/>
    <w:rsid w:val="00902F38"/>
    <w:rsid w:val="00907657"/>
    <w:rsid w:val="00912807"/>
    <w:rsid w:val="00913575"/>
    <w:rsid w:val="0091455A"/>
    <w:rsid w:val="00914670"/>
    <w:rsid w:val="0091541B"/>
    <w:rsid w:val="0091611C"/>
    <w:rsid w:val="009163FB"/>
    <w:rsid w:val="009201C8"/>
    <w:rsid w:val="00920995"/>
    <w:rsid w:val="00920AA2"/>
    <w:rsid w:val="009212F8"/>
    <w:rsid w:val="00922CE8"/>
    <w:rsid w:val="009269F2"/>
    <w:rsid w:val="00930DFE"/>
    <w:rsid w:val="0093290A"/>
    <w:rsid w:val="009360C4"/>
    <w:rsid w:val="00936583"/>
    <w:rsid w:val="00936835"/>
    <w:rsid w:val="009370FA"/>
    <w:rsid w:val="009375FA"/>
    <w:rsid w:val="00937A90"/>
    <w:rsid w:val="00937D07"/>
    <w:rsid w:val="00943855"/>
    <w:rsid w:val="009438B3"/>
    <w:rsid w:val="009449E4"/>
    <w:rsid w:val="00944F3A"/>
    <w:rsid w:val="009462AA"/>
    <w:rsid w:val="009463C4"/>
    <w:rsid w:val="00950360"/>
    <w:rsid w:val="009503AD"/>
    <w:rsid w:val="00950A06"/>
    <w:rsid w:val="00951A99"/>
    <w:rsid w:val="009526F0"/>
    <w:rsid w:val="009530AB"/>
    <w:rsid w:val="009561A7"/>
    <w:rsid w:val="0095771F"/>
    <w:rsid w:val="00957866"/>
    <w:rsid w:val="0096120C"/>
    <w:rsid w:val="0096465D"/>
    <w:rsid w:val="00964F54"/>
    <w:rsid w:val="00966771"/>
    <w:rsid w:val="0096791C"/>
    <w:rsid w:val="0097247A"/>
    <w:rsid w:val="00972586"/>
    <w:rsid w:val="00972AE0"/>
    <w:rsid w:val="00973D5D"/>
    <w:rsid w:val="00974335"/>
    <w:rsid w:val="00976F3A"/>
    <w:rsid w:val="00981793"/>
    <w:rsid w:val="00984B9D"/>
    <w:rsid w:val="00985C05"/>
    <w:rsid w:val="00987C7C"/>
    <w:rsid w:val="00990192"/>
    <w:rsid w:val="0099397B"/>
    <w:rsid w:val="00996275"/>
    <w:rsid w:val="009A3219"/>
    <w:rsid w:val="009A40BF"/>
    <w:rsid w:val="009A56B9"/>
    <w:rsid w:val="009A5E6F"/>
    <w:rsid w:val="009A7911"/>
    <w:rsid w:val="009B122F"/>
    <w:rsid w:val="009B748F"/>
    <w:rsid w:val="009B7ABE"/>
    <w:rsid w:val="009C1C28"/>
    <w:rsid w:val="009C2C55"/>
    <w:rsid w:val="009C5FE0"/>
    <w:rsid w:val="009D07BF"/>
    <w:rsid w:val="009D16D6"/>
    <w:rsid w:val="009D1E77"/>
    <w:rsid w:val="009D30E0"/>
    <w:rsid w:val="009D4A09"/>
    <w:rsid w:val="009D5BE1"/>
    <w:rsid w:val="009D763A"/>
    <w:rsid w:val="009E0E62"/>
    <w:rsid w:val="009E1C1B"/>
    <w:rsid w:val="009E28DA"/>
    <w:rsid w:val="009E34B0"/>
    <w:rsid w:val="009E5EF6"/>
    <w:rsid w:val="009F043C"/>
    <w:rsid w:val="009F1B57"/>
    <w:rsid w:val="009F26B3"/>
    <w:rsid w:val="009F6C11"/>
    <w:rsid w:val="00A01248"/>
    <w:rsid w:val="00A02203"/>
    <w:rsid w:val="00A0296F"/>
    <w:rsid w:val="00A05D2F"/>
    <w:rsid w:val="00A107CC"/>
    <w:rsid w:val="00A12280"/>
    <w:rsid w:val="00A12539"/>
    <w:rsid w:val="00A12D3A"/>
    <w:rsid w:val="00A1320B"/>
    <w:rsid w:val="00A134DE"/>
    <w:rsid w:val="00A135FF"/>
    <w:rsid w:val="00A16971"/>
    <w:rsid w:val="00A170E6"/>
    <w:rsid w:val="00A204ED"/>
    <w:rsid w:val="00A21EBA"/>
    <w:rsid w:val="00A2226E"/>
    <w:rsid w:val="00A23B22"/>
    <w:rsid w:val="00A23F70"/>
    <w:rsid w:val="00A258F1"/>
    <w:rsid w:val="00A259B5"/>
    <w:rsid w:val="00A27AAF"/>
    <w:rsid w:val="00A30B6C"/>
    <w:rsid w:val="00A337DA"/>
    <w:rsid w:val="00A33AED"/>
    <w:rsid w:val="00A34C92"/>
    <w:rsid w:val="00A36ED2"/>
    <w:rsid w:val="00A37209"/>
    <w:rsid w:val="00A41163"/>
    <w:rsid w:val="00A41DC4"/>
    <w:rsid w:val="00A45646"/>
    <w:rsid w:val="00A50B18"/>
    <w:rsid w:val="00A5281A"/>
    <w:rsid w:val="00A5327A"/>
    <w:rsid w:val="00A547C3"/>
    <w:rsid w:val="00A562DB"/>
    <w:rsid w:val="00A56A9D"/>
    <w:rsid w:val="00A56BC9"/>
    <w:rsid w:val="00A60CE5"/>
    <w:rsid w:val="00A61844"/>
    <w:rsid w:val="00A65398"/>
    <w:rsid w:val="00A65794"/>
    <w:rsid w:val="00A663DF"/>
    <w:rsid w:val="00A74708"/>
    <w:rsid w:val="00A77B0E"/>
    <w:rsid w:val="00A806FC"/>
    <w:rsid w:val="00A80C61"/>
    <w:rsid w:val="00A826E0"/>
    <w:rsid w:val="00A829C9"/>
    <w:rsid w:val="00A82F51"/>
    <w:rsid w:val="00A842CF"/>
    <w:rsid w:val="00A86207"/>
    <w:rsid w:val="00A86E30"/>
    <w:rsid w:val="00A86FC4"/>
    <w:rsid w:val="00A93CD3"/>
    <w:rsid w:val="00A971F7"/>
    <w:rsid w:val="00AA068B"/>
    <w:rsid w:val="00AA0D49"/>
    <w:rsid w:val="00AA0F44"/>
    <w:rsid w:val="00AA1BD3"/>
    <w:rsid w:val="00AA1FF4"/>
    <w:rsid w:val="00AA25E4"/>
    <w:rsid w:val="00AA4ED8"/>
    <w:rsid w:val="00AA6495"/>
    <w:rsid w:val="00AB0804"/>
    <w:rsid w:val="00AB2F2B"/>
    <w:rsid w:val="00AB4A78"/>
    <w:rsid w:val="00AB4CC5"/>
    <w:rsid w:val="00AD0D47"/>
    <w:rsid w:val="00AD1B93"/>
    <w:rsid w:val="00AD4BF3"/>
    <w:rsid w:val="00AE0D6C"/>
    <w:rsid w:val="00AE26AE"/>
    <w:rsid w:val="00AE30E8"/>
    <w:rsid w:val="00AE3C27"/>
    <w:rsid w:val="00AE3C6B"/>
    <w:rsid w:val="00AE4067"/>
    <w:rsid w:val="00AE4F35"/>
    <w:rsid w:val="00AE5FD4"/>
    <w:rsid w:val="00AF30A8"/>
    <w:rsid w:val="00AF32D3"/>
    <w:rsid w:val="00AF397A"/>
    <w:rsid w:val="00AF59AE"/>
    <w:rsid w:val="00AF6499"/>
    <w:rsid w:val="00B02182"/>
    <w:rsid w:val="00B039FA"/>
    <w:rsid w:val="00B0523E"/>
    <w:rsid w:val="00B10656"/>
    <w:rsid w:val="00B13BE1"/>
    <w:rsid w:val="00B14970"/>
    <w:rsid w:val="00B15582"/>
    <w:rsid w:val="00B15D6B"/>
    <w:rsid w:val="00B2050E"/>
    <w:rsid w:val="00B23AAB"/>
    <w:rsid w:val="00B27448"/>
    <w:rsid w:val="00B27C3C"/>
    <w:rsid w:val="00B31467"/>
    <w:rsid w:val="00B32BAC"/>
    <w:rsid w:val="00B3349A"/>
    <w:rsid w:val="00B33A38"/>
    <w:rsid w:val="00B3418C"/>
    <w:rsid w:val="00B364A0"/>
    <w:rsid w:val="00B36DB1"/>
    <w:rsid w:val="00B40F9C"/>
    <w:rsid w:val="00B43032"/>
    <w:rsid w:val="00B45B64"/>
    <w:rsid w:val="00B45C2A"/>
    <w:rsid w:val="00B50020"/>
    <w:rsid w:val="00B51055"/>
    <w:rsid w:val="00B52511"/>
    <w:rsid w:val="00B53628"/>
    <w:rsid w:val="00B55B7A"/>
    <w:rsid w:val="00B57317"/>
    <w:rsid w:val="00B63FA6"/>
    <w:rsid w:val="00B641F0"/>
    <w:rsid w:val="00B67BED"/>
    <w:rsid w:val="00B67C6D"/>
    <w:rsid w:val="00B70470"/>
    <w:rsid w:val="00B70D41"/>
    <w:rsid w:val="00B72A6E"/>
    <w:rsid w:val="00B74291"/>
    <w:rsid w:val="00B74AD4"/>
    <w:rsid w:val="00B74E63"/>
    <w:rsid w:val="00B76794"/>
    <w:rsid w:val="00B76C09"/>
    <w:rsid w:val="00B802D7"/>
    <w:rsid w:val="00B81F09"/>
    <w:rsid w:val="00B83717"/>
    <w:rsid w:val="00B86D1E"/>
    <w:rsid w:val="00B91440"/>
    <w:rsid w:val="00B9175A"/>
    <w:rsid w:val="00B920F0"/>
    <w:rsid w:val="00B93AC5"/>
    <w:rsid w:val="00B94029"/>
    <w:rsid w:val="00B974BA"/>
    <w:rsid w:val="00BA41C1"/>
    <w:rsid w:val="00BA473B"/>
    <w:rsid w:val="00BA475A"/>
    <w:rsid w:val="00BA747E"/>
    <w:rsid w:val="00BB0CFE"/>
    <w:rsid w:val="00BB18EB"/>
    <w:rsid w:val="00BB25FC"/>
    <w:rsid w:val="00BB4425"/>
    <w:rsid w:val="00BB5ADB"/>
    <w:rsid w:val="00BB5E6B"/>
    <w:rsid w:val="00BB735B"/>
    <w:rsid w:val="00BC43AD"/>
    <w:rsid w:val="00BC5EF6"/>
    <w:rsid w:val="00BC6712"/>
    <w:rsid w:val="00BD106F"/>
    <w:rsid w:val="00BD1615"/>
    <w:rsid w:val="00BD5BE8"/>
    <w:rsid w:val="00BD727D"/>
    <w:rsid w:val="00BD7EA3"/>
    <w:rsid w:val="00BE1000"/>
    <w:rsid w:val="00BE386B"/>
    <w:rsid w:val="00BE69CF"/>
    <w:rsid w:val="00BF0F45"/>
    <w:rsid w:val="00BF49C7"/>
    <w:rsid w:val="00C0294F"/>
    <w:rsid w:val="00C030AC"/>
    <w:rsid w:val="00C0408C"/>
    <w:rsid w:val="00C11448"/>
    <w:rsid w:val="00C12A07"/>
    <w:rsid w:val="00C163ED"/>
    <w:rsid w:val="00C201C1"/>
    <w:rsid w:val="00C2109B"/>
    <w:rsid w:val="00C213F9"/>
    <w:rsid w:val="00C22267"/>
    <w:rsid w:val="00C23E6F"/>
    <w:rsid w:val="00C25324"/>
    <w:rsid w:val="00C2683F"/>
    <w:rsid w:val="00C27308"/>
    <w:rsid w:val="00C27D2E"/>
    <w:rsid w:val="00C30601"/>
    <w:rsid w:val="00C314D2"/>
    <w:rsid w:val="00C31EEC"/>
    <w:rsid w:val="00C329A3"/>
    <w:rsid w:val="00C34223"/>
    <w:rsid w:val="00C34819"/>
    <w:rsid w:val="00C37F9E"/>
    <w:rsid w:val="00C41067"/>
    <w:rsid w:val="00C41738"/>
    <w:rsid w:val="00C417CD"/>
    <w:rsid w:val="00C42C28"/>
    <w:rsid w:val="00C464A3"/>
    <w:rsid w:val="00C4694B"/>
    <w:rsid w:val="00C46A84"/>
    <w:rsid w:val="00C47982"/>
    <w:rsid w:val="00C53373"/>
    <w:rsid w:val="00C573F1"/>
    <w:rsid w:val="00C60A40"/>
    <w:rsid w:val="00C61B90"/>
    <w:rsid w:val="00C649CD"/>
    <w:rsid w:val="00C65828"/>
    <w:rsid w:val="00C66AE0"/>
    <w:rsid w:val="00C66DE8"/>
    <w:rsid w:val="00C67B73"/>
    <w:rsid w:val="00C705CC"/>
    <w:rsid w:val="00C70BEE"/>
    <w:rsid w:val="00C72A0E"/>
    <w:rsid w:val="00C72DD1"/>
    <w:rsid w:val="00C73893"/>
    <w:rsid w:val="00C77952"/>
    <w:rsid w:val="00C82164"/>
    <w:rsid w:val="00C83C07"/>
    <w:rsid w:val="00C84574"/>
    <w:rsid w:val="00C856FA"/>
    <w:rsid w:val="00C8618C"/>
    <w:rsid w:val="00C906A6"/>
    <w:rsid w:val="00C9146B"/>
    <w:rsid w:val="00C96F71"/>
    <w:rsid w:val="00C97301"/>
    <w:rsid w:val="00C9786F"/>
    <w:rsid w:val="00CA2C7F"/>
    <w:rsid w:val="00CA2EF8"/>
    <w:rsid w:val="00CB2553"/>
    <w:rsid w:val="00CB2D3A"/>
    <w:rsid w:val="00CB42AD"/>
    <w:rsid w:val="00CB55C8"/>
    <w:rsid w:val="00CB5833"/>
    <w:rsid w:val="00CB6C4B"/>
    <w:rsid w:val="00CC1FE1"/>
    <w:rsid w:val="00CC2F5B"/>
    <w:rsid w:val="00CC313B"/>
    <w:rsid w:val="00CC714A"/>
    <w:rsid w:val="00CD1147"/>
    <w:rsid w:val="00CD16CB"/>
    <w:rsid w:val="00CD2BB8"/>
    <w:rsid w:val="00CD4BCC"/>
    <w:rsid w:val="00CD5183"/>
    <w:rsid w:val="00CD69CF"/>
    <w:rsid w:val="00CE45C3"/>
    <w:rsid w:val="00CE4CBC"/>
    <w:rsid w:val="00CE5F68"/>
    <w:rsid w:val="00CE6551"/>
    <w:rsid w:val="00CF0017"/>
    <w:rsid w:val="00CF00FE"/>
    <w:rsid w:val="00CF0A7D"/>
    <w:rsid w:val="00CF3177"/>
    <w:rsid w:val="00CF498D"/>
    <w:rsid w:val="00CF4C3C"/>
    <w:rsid w:val="00CF5EB5"/>
    <w:rsid w:val="00D0054C"/>
    <w:rsid w:val="00D00E1F"/>
    <w:rsid w:val="00D0242D"/>
    <w:rsid w:val="00D03036"/>
    <w:rsid w:val="00D039DB"/>
    <w:rsid w:val="00D0483E"/>
    <w:rsid w:val="00D05E84"/>
    <w:rsid w:val="00D07748"/>
    <w:rsid w:val="00D0783C"/>
    <w:rsid w:val="00D13B41"/>
    <w:rsid w:val="00D13D9E"/>
    <w:rsid w:val="00D14D9B"/>
    <w:rsid w:val="00D2409E"/>
    <w:rsid w:val="00D256B2"/>
    <w:rsid w:val="00D26CC3"/>
    <w:rsid w:val="00D3010C"/>
    <w:rsid w:val="00D3031E"/>
    <w:rsid w:val="00D329C2"/>
    <w:rsid w:val="00D357C7"/>
    <w:rsid w:val="00D3724B"/>
    <w:rsid w:val="00D37926"/>
    <w:rsid w:val="00D41DA7"/>
    <w:rsid w:val="00D42323"/>
    <w:rsid w:val="00D42EB1"/>
    <w:rsid w:val="00D43E84"/>
    <w:rsid w:val="00D45D42"/>
    <w:rsid w:val="00D47C26"/>
    <w:rsid w:val="00D5027F"/>
    <w:rsid w:val="00D51539"/>
    <w:rsid w:val="00D52080"/>
    <w:rsid w:val="00D52667"/>
    <w:rsid w:val="00D53A63"/>
    <w:rsid w:val="00D56379"/>
    <w:rsid w:val="00D566D0"/>
    <w:rsid w:val="00D56DCE"/>
    <w:rsid w:val="00D61D9B"/>
    <w:rsid w:val="00D62F1F"/>
    <w:rsid w:val="00D64AA6"/>
    <w:rsid w:val="00D715CB"/>
    <w:rsid w:val="00D72F18"/>
    <w:rsid w:val="00D738B5"/>
    <w:rsid w:val="00D75604"/>
    <w:rsid w:val="00D76D02"/>
    <w:rsid w:val="00D7738F"/>
    <w:rsid w:val="00D77601"/>
    <w:rsid w:val="00D77C2C"/>
    <w:rsid w:val="00D8069B"/>
    <w:rsid w:val="00D81B55"/>
    <w:rsid w:val="00D848A6"/>
    <w:rsid w:val="00D85DA6"/>
    <w:rsid w:val="00D86613"/>
    <w:rsid w:val="00D86BDE"/>
    <w:rsid w:val="00D87A84"/>
    <w:rsid w:val="00D87B4C"/>
    <w:rsid w:val="00D90452"/>
    <w:rsid w:val="00D904A5"/>
    <w:rsid w:val="00D9072A"/>
    <w:rsid w:val="00D90CAE"/>
    <w:rsid w:val="00D91A8A"/>
    <w:rsid w:val="00D92038"/>
    <w:rsid w:val="00D93D28"/>
    <w:rsid w:val="00D973D7"/>
    <w:rsid w:val="00DA1EFF"/>
    <w:rsid w:val="00DA39BC"/>
    <w:rsid w:val="00DA5234"/>
    <w:rsid w:val="00DA78E2"/>
    <w:rsid w:val="00DB11BA"/>
    <w:rsid w:val="00DB5669"/>
    <w:rsid w:val="00DC0524"/>
    <w:rsid w:val="00DC1C59"/>
    <w:rsid w:val="00DC36FA"/>
    <w:rsid w:val="00DC5351"/>
    <w:rsid w:val="00DD0E59"/>
    <w:rsid w:val="00DD1CB0"/>
    <w:rsid w:val="00DD352A"/>
    <w:rsid w:val="00DD7400"/>
    <w:rsid w:val="00DD7564"/>
    <w:rsid w:val="00DE1857"/>
    <w:rsid w:val="00DE1C70"/>
    <w:rsid w:val="00DE2F4A"/>
    <w:rsid w:val="00DE4071"/>
    <w:rsid w:val="00DE474F"/>
    <w:rsid w:val="00DE511A"/>
    <w:rsid w:val="00DE6921"/>
    <w:rsid w:val="00DE77B9"/>
    <w:rsid w:val="00DF1E41"/>
    <w:rsid w:val="00DF6FD7"/>
    <w:rsid w:val="00DF70AC"/>
    <w:rsid w:val="00E044FA"/>
    <w:rsid w:val="00E10BE2"/>
    <w:rsid w:val="00E12993"/>
    <w:rsid w:val="00E12D7F"/>
    <w:rsid w:val="00E211BB"/>
    <w:rsid w:val="00E217D0"/>
    <w:rsid w:val="00E2576E"/>
    <w:rsid w:val="00E27BA9"/>
    <w:rsid w:val="00E27D16"/>
    <w:rsid w:val="00E31606"/>
    <w:rsid w:val="00E3397A"/>
    <w:rsid w:val="00E37921"/>
    <w:rsid w:val="00E41EBB"/>
    <w:rsid w:val="00E41F9B"/>
    <w:rsid w:val="00E4220D"/>
    <w:rsid w:val="00E4413A"/>
    <w:rsid w:val="00E44537"/>
    <w:rsid w:val="00E44665"/>
    <w:rsid w:val="00E44A85"/>
    <w:rsid w:val="00E44EBC"/>
    <w:rsid w:val="00E46526"/>
    <w:rsid w:val="00E46B5F"/>
    <w:rsid w:val="00E46BD6"/>
    <w:rsid w:val="00E506A5"/>
    <w:rsid w:val="00E5565F"/>
    <w:rsid w:val="00E56BC2"/>
    <w:rsid w:val="00E56F39"/>
    <w:rsid w:val="00E61553"/>
    <w:rsid w:val="00E625AD"/>
    <w:rsid w:val="00E6269F"/>
    <w:rsid w:val="00E62705"/>
    <w:rsid w:val="00E62C3E"/>
    <w:rsid w:val="00E642A7"/>
    <w:rsid w:val="00E64A1F"/>
    <w:rsid w:val="00E65D9F"/>
    <w:rsid w:val="00E667EA"/>
    <w:rsid w:val="00E718CC"/>
    <w:rsid w:val="00E71FB9"/>
    <w:rsid w:val="00E729B8"/>
    <w:rsid w:val="00E75747"/>
    <w:rsid w:val="00E76700"/>
    <w:rsid w:val="00E76C20"/>
    <w:rsid w:val="00E801AB"/>
    <w:rsid w:val="00E80D26"/>
    <w:rsid w:val="00E82748"/>
    <w:rsid w:val="00E872EF"/>
    <w:rsid w:val="00E9307D"/>
    <w:rsid w:val="00E9498A"/>
    <w:rsid w:val="00E966A3"/>
    <w:rsid w:val="00EA05A9"/>
    <w:rsid w:val="00EA4453"/>
    <w:rsid w:val="00EA467A"/>
    <w:rsid w:val="00EA49AE"/>
    <w:rsid w:val="00EB0450"/>
    <w:rsid w:val="00EB157A"/>
    <w:rsid w:val="00EB2D20"/>
    <w:rsid w:val="00EB68F0"/>
    <w:rsid w:val="00EB7B8F"/>
    <w:rsid w:val="00EC2316"/>
    <w:rsid w:val="00EC25A1"/>
    <w:rsid w:val="00EC3424"/>
    <w:rsid w:val="00EC39AA"/>
    <w:rsid w:val="00EC489B"/>
    <w:rsid w:val="00EC4ED4"/>
    <w:rsid w:val="00EC6169"/>
    <w:rsid w:val="00EC697E"/>
    <w:rsid w:val="00ED276F"/>
    <w:rsid w:val="00ED409C"/>
    <w:rsid w:val="00ED6FCF"/>
    <w:rsid w:val="00EE0561"/>
    <w:rsid w:val="00EE06ED"/>
    <w:rsid w:val="00EE3428"/>
    <w:rsid w:val="00EE5646"/>
    <w:rsid w:val="00EE57A7"/>
    <w:rsid w:val="00EF543D"/>
    <w:rsid w:val="00EF5F4B"/>
    <w:rsid w:val="00EF6175"/>
    <w:rsid w:val="00EF6A1B"/>
    <w:rsid w:val="00EF6E2F"/>
    <w:rsid w:val="00F00242"/>
    <w:rsid w:val="00F0388E"/>
    <w:rsid w:val="00F041C5"/>
    <w:rsid w:val="00F063D2"/>
    <w:rsid w:val="00F10505"/>
    <w:rsid w:val="00F128DC"/>
    <w:rsid w:val="00F13BEB"/>
    <w:rsid w:val="00F13D4D"/>
    <w:rsid w:val="00F1453C"/>
    <w:rsid w:val="00F21508"/>
    <w:rsid w:val="00F274A9"/>
    <w:rsid w:val="00F314E8"/>
    <w:rsid w:val="00F3269C"/>
    <w:rsid w:val="00F3389F"/>
    <w:rsid w:val="00F33EE8"/>
    <w:rsid w:val="00F36F01"/>
    <w:rsid w:val="00F374E0"/>
    <w:rsid w:val="00F376BD"/>
    <w:rsid w:val="00F40A62"/>
    <w:rsid w:val="00F41D7A"/>
    <w:rsid w:val="00F4230C"/>
    <w:rsid w:val="00F4310D"/>
    <w:rsid w:val="00F43189"/>
    <w:rsid w:val="00F46CC3"/>
    <w:rsid w:val="00F4778B"/>
    <w:rsid w:val="00F50341"/>
    <w:rsid w:val="00F51E5D"/>
    <w:rsid w:val="00F54B90"/>
    <w:rsid w:val="00F576D3"/>
    <w:rsid w:val="00F60E9D"/>
    <w:rsid w:val="00F62652"/>
    <w:rsid w:val="00F70C7B"/>
    <w:rsid w:val="00F726B6"/>
    <w:rsid w:val="00F732C5"/>
    <w:rsid w:val="00F7340B"/>
    <w:rsid w:val="00F750B0"/>
    <w:rsid w:val="00F758FC"/>
    <w:rsid w:val="00F815BD"/>
    <w:rsid w:val="00F8411E"/>
    <w:rsid w:val="00F86074"/>
    <w:rsid w:val="00F87860"/>
    <w:rsid w:val="00F90086"/>
    <w:rsid w:val="00F901DF"/>
    <w:rsid w:val="00F90F6D"/>
    <w:rsid w:val="00F91618"/>
    <w:rsid w:val="00F917FE"/>
    <w:rsid w:val="00F91E78"/>
    <w:rsid w:val="00F92BC5"/>
    <w:rsid w:val="00F9349B"/>
    <w:rsid w:val="00F97728"/>
    <w:rsid w:val="00FA0344"/>
    <w:rsid w:val="00FA0593"/>
    <w:rsid w:val="00FA22A7"/>
    <w:rsid w:val="00FA2517"/>
    <w:rsid w:val="00FA2785"/>
    <w:rsid w:val="00FA68B3"/>
    <w:rsid w:val="00FB13DD"/>
    <w:rsid w:val="00FB167C"/>
    <w:rsid w:val="00FB4988"/>
    <w:rsid w:val="00FB5C27"/>
    <w:rsid w:val="00FB6E18"/>
    <w:rsid w:val="00FC1552"/>
    <w:rsid w:val="00FC1A9B"/>
    <w:rsid w:val="00FC43B5"/>
    <w:rsid w:val="00FC4687"/>
    <w:rsid w:val="00FC6519"/>
    <w:rsid w:val="00FC7221"/>
    <w:rsid w:val="00FD26DF"/>
    <w:rsid w:val="00FD2A4C"/>
    <w:rsid w:val="00FD4506"/>
    <w:rsid w:val="00FD54E1"/>
    <w:rsid w:val="00FD79EE"/>
    <w:rsid w:val="00FE294D"/>
    <w:rsid w:val="00FE3BC5"/>
    <w:rsid w:val="00FF12CF"/>
    <w:rsid w:val="00FF18B8"/>
    <w:rsid w:val="00FF5448"/>
    <w:rsid w:val="00FF632A"/>
    <w:rsid w:val="00FF7AAE"/>
    <w:rsid w:val="00FF7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3E117"/>
  <w15:chartTrackingRefBased/>
  <w15:docId w15:val="{7AD7F017-B589-4300-9F7A-9377C18F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07CC"/>
  </w:style>
  <w:style w:type="paragraph" w:styleId="Heading1">
    <w:name w:val="heading 1"/>
    <w:basedOn w:val="Normal"/>
    <w:next w:val="Normal"/>
    <w:link w:val="Heading1Char"/>
    <w:uiPriority w:val="9"/>
    <w:qFormat/>
    <w:rsid w:val="00A107C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A107CC"/>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A107CC"/>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A107C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A107C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A107C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A107C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A107C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A107C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CC"/>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A107CC"/>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A107CC"/>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A107CC"/>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A107CC"/>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A107CC"/>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A107CC"/>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A107CC"/>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A107CC"/>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A107C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A107C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A107CC"/>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A107CC"/>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A107CC"/>
    <w:rPr>
      <w:caps/>
      <w:color w:val="404040" w:themeColor="text1" w:themeTint="BF"/>
      <w:spacing w:val="20"/>
      <w:sz w:val="28"/>
      <w:szCs w:val="28"/>
    </w:rPr>
  </w:style>
  <w:style w:type="character" w:styleId="Strong">
    <w:name w:val="Strong"/>
    <w:basedOn w:val="DefaultParagraphFont"/>
    <w:uiPriority w:val="22"/>
    <w:qFormat/>
    <w:rsid w:val="00A107CC"/>
    <w:rPr>
      <w:b/>
      <w:bCs/>
    </w:rPr>
  </w:style>
  <w:style w:type="character" w:styleId="Emphasis">
    <w:name w:val="Emphasis"/>
    <w:basedOn w:val="DefaultParagraphFont"/>
    <w:uiPriority w:val="20"/>
    <w:qFormat/>
    <w:rsid w:val="00A107CC"/>
    <w:rPr>
      <w:i/>
      <w:iCs/>
      <w:color w:val="000000" w:themeColor="text1"/>
    </w:rPr>
  </w:style>
  <w:style w:type="paragraph" w:styleId="NoSpacing">
    <w:name w:val="No Spacing"/>
    <w:uiPriority w:val="1"/>
    <w:qFormat/>
    <w:rsid w:val="00A107CC"/>
    <w:pPr>
      <w:spacing w:after="0" w:line="240" w:lineRule="auto"/>
    </w:pPr>
  </w:style>
  <w:style w:type="paragraph" w:styleId="Quote">
    <w:name w:val="Quote"/>
    <w:basedOn w:val="Normal"/>
    <w:next w:val="Normal"/>
    <w:link w:val="QuoteChar"/>
    <w:uiPriority w:val="29"/>
    <w:qFormat/>
    <w:rsid w:val="00A107C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A107CC"/>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A107C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A107CC"/>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A107CC"/>
    <w:rPr>
      <w:i/>
      <w:iCs/>
      <w:color w:val="595959" w:themeColor="text1" w:themeTint="A6"/>
    </w:rPr>
  </w:style>
  <w:style w:type="character" w:styleId="IntenseEmphasis">
    <w:name w:val="Intense Emphasis"/>
    <w:basedOn w:val="DefaultParagraphFont"/>
    <w:uiPriority w:val="21"/>
    <w:qFormat/>
    <w:rsid w:val="00A107CC"/>
    <w:rPr>
      <w:b/>
      <w:bCs/>
      <w:i/>
      <w:iCs/>
      <w:caps w:val="0"/>
      <w:smallCaps w:val="0"/>
      <w:strike w:val="0"/>
      <w:dstrike w:val="0"/>
      <w:color w:val="ED7D31" w:themeColor="accent2"/>
    </w:rPr>
  </w:style>
  <w:style w:type="character" w:styleId="SubtleReference">
    <w:name w:val="Subtle Reference"/>
    <w:basedOn w:val="DefaultParagraphFont"/>
    <w:uiPriority w:val="31"/>
    <w:qFormat/>
    <w:rsid w:val="00A107C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107CC"/>
    <w:rPr>
      <w:b/>
      <w:bCs/>
      <w:caps w:val="0"/>
      <w:smallCaps/>
      <w:color w:val="auto"/>
      <w:spacing w:val="0"/>
      <w:u w:val="single"/>
    </w:rPr>
  </w:style>
  <w:style w:type="character" w:styleId="BookTitle">
    <w:name w:val="Book Title"/>
    <w:basedOn w:val="DefaultParagraphFont"/>
    <w:uiPriority w:val="33"/>
    <w:qFormat/>
    <w:rsid w:val="00A107CC"/>
    <w:rPr>
      <w:b/>
      <w:bCs/>
      <w:caps w:val="0"/>
      <w:smallCaps/>
      <w:spacing w:val="0"/>
    </w:rPr>
  </w:style>
  <w:style w:type="paragraph" w:styleId="TOCHeading">
    <w:name w:val="TOC Heading"/>
    <w:basedOn w:val="Heading1"/>
    <w:next w:val="Normal"/>
    <w:uiPriority w:val="39"/>
    <w:semiHidden/>
    <w:unhideWhenUsed/>
    <w:qFormat/>
    <w:rsid w:val="00A107CC"/>
    <w:pPr>
      <w:outlineLvl w:val="9"/>
    </w:pPr>
  </w:style>
  <w:style w:type="paragraph" w:styleId="Header">
    <w:name w:val="header"/>
    <w:basedOn w:val="Normal"/>
    <w:link w:val="HeaderChar"/>
    <w:uiPriority w:val="99"/>
    <w:unhideWhenUsed/>
    <w:rsid w:val="008662D0"/>
    <w:pPr>
      <w:tabs>
        <w:tab w:val="center" w:pos="4320"/>
        <w:tab w:val="right" w:pos="8640"/>
      </w:tabs>
      <w:spacing w:after="0" w:line="240" w:lineRule="auto"/>
    </w:pPr>
  </w:style>
  <w:style w:type="character" w:customStyle="1" w:styleId="HeaderChar">
    <w:name w:val="Header Char"/>
    <w:basedOn w:val="DefaultParagraphFont"/>
    <w:link w:val="Header"/>
    <w:uiPriority w:val="99"/>
    <w:rsid w:val="008662D0"/>
  </w:style>
  <w:style w:type="paragraph" w:styleId="Footer">
    <w:name w:val="footer"/>
    <w:basedOn w:val="Normal"/>
    <w:link w:val="FooterChar"/>
    <w:uiPriority w:val="99"/>
    <w:unhideWhenUsed/>
    <w:rsid w:val="008662D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62D0"/>
  </w:style>
  <w:style w:type="paragraph" w:styleId="ListParagraph">
    <w:name w:val="List Paragraph"/>
    <w:basedOn w:val="Normal"/>
    <w:uiPriority w:val="34"/>
    <w:qFormat/>
    <w:rsid w:val="00C34223"/>
    <w:pPr>
      <w:ind w:left="720"/>
      <w:contextualSpacing/>
    </w:pPr>
  </w:style>
  <w:style w:type="character" w:styleId="PlaceholderText">
    <w:name w:val="Placeholder Text"/>
    <w:basedOn w:val="DefaultParagraphFont"/>
    <w:uiPriority w:val="99"/>
    <w:semiHidden/>
    <w:rsid w:val="00DF6FD7"/>
    <w:rPr>
      <w:color w:val="808080"/>
    </w:rPr>
  </w:style>
  <w:style w:type="table" w:styleId="TableGrid">
    <w:name w:val="Table Grid"/>
    <w:basedOn w:val="TableNormal"/>
    <w:uiPriority w:val="39"/>
    <w:rsid w:val="00E2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593"/>
    <w:rPr>
      <w:sz w:val="16"/>
      <w:szCs w:val="16"/>
    </w:rPr>
  </w:style>
  <w:style w:type="paragraph" w:styleId="CommentText">
    <w:name w:val="annotation text"/>
    <w:basedOn w:val="Normal"/>
    <w:link w:val="CommentTextChar"/>
    <w:uiPriority w:val="99"/>
    <w:semiHidden/>
    <w:unhideWhenUsed/>
    <w:rsid w:val="00FA0593"/>
    <w:pPr>
      <w:spacing w:line="240" w:lineRule="auto"/>
    </w:pPr>
    <w:rPr>
      <w:sz w:val="20"/>
      <w:szCs w:val="20"/>
    </w:rPr>
  </w:style>
  <w:style w:type="character" w:customStyle="1" w:styleId="CommentTextChar">
    <w:name w:val="Comment Text Char"/>
    <w:basedOn w:val="DefaultParagraphFont"/>
    <w:link w:val="CommentText"/>
    <w:uiPriority w:val="99"/>
    <w:semiHidden/>
    <w:rsid w:val="00FA0593"/>
    <w:rPr>
      <w:sz w:val="20"/>
      <w:szCs w:val="20"/>
    </w:rPr>
  </w:style>
  <w:style w:type="paragraph" w:styleId="CommentSubject">
    <w:name w:val="annotation subject"/>
    <w:basedOn w:val="CommentText"/>
    <w:next w:val="CommentText"/>
    <w:link w:val="CommentSubjectChar"/>
    <w:uiPriority w:val="99"/>
    <w:semiHidden/>
    <w:unhideWhenUsed/>
    <w:rsid w:val="00FA0593"/>
    <w:rPr>
      <w:b/>
      <w:bCs/>
    </w:rPr>
  </w:style>
  <w:style w:type="character" w:customStyle="1" w:styleId="CommentSubjectChar">
    <w:name w:val="Comment Subject Char"/>
    <w:basedOn w:val="CommentTextChar"/>
    <w:link w:val="CommentSubject"/>
    <w:uiPriority w:val="99"/>
    <w:semiHidden/>
    <w:rsid w:val="00FA0593"/>
    <w:rPr>
      <w:b/>
      <w:bCs/>
      <w:sz w:val="20"/>
      <w:szCs w:val="20"/>
    </w:rPr>
  </w:style>
  <w:style w:type="paragraph" w:styleId="BalloonText">
    <w:name w:val="Balloon Text"/>
    <w:basedOn w:val="Normal"/>
    <w:link w:val="BalloonTextChar"/>
    <w:uiPriority w:val="99"/>
    <w:semiHidden/>
    <w:unhideWhenUsed/>
    <w:rsid w:val="00FA0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93"/>
    <w:rPr>
      <w:rFonts w:ascii="Segoe UI" w:hAnsi="Segoe UI" w:cs="Segoe UI"/>
      <w:sz w:val="18"/>
      <w:szCs w:val="18"/>
    </w:rPr>
  </w:style>
  <w:style w:type="character" w:styleId="Hyperlink">
    <w:name w:val="Hyperlink"/>
    <w:basedOn w:val="DefaultParagraphFont"/>
    <w:uiPriority w:val="99"/>
    <w:unhideWhenUsed/>
    <w:rsid w:val="000C1048"/>
    <w:rPr>
      <w:color w:val="0563C1" w:themeColor="hyperlink"/>
      <w:u w:val="single"/>
    </w:rPr>
  </w:style>
  <w:style w:type="character" w:styleId="Mention">
    <w:name w:val="Mention"/>
    <w:basedOn w:val="DefaultParagraphFont"/>
    <w:uiPriority w:val="99"/>
    <w:semiHidden/>
    <w:unhideWhenUsed/>
    <w:rsid w:val="000C1048"/>
    <w:rPr>
      <w:color w:val="2B579A"/>
      <w:shd w:val="clear" w:color="auto" w:fill="E6E6E6"/>
    </w:rPr>
  </w:style>
  <w:style w:type="table" w:customStyle="1" w:styleId="TableGrid2">
    <w:name w:val="Table Grid2"/>
    <w:basedOn w:val="TableNormal"/>
    <w:next w:val="TableGrid"/>
    <w:uiPriority w:val="39"/>
    <w:rsid w:val="00E9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9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2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0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0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409E"/>
    <w:rPr>
      <w:color w:val="808080"/>
      <w:shd w:val="clear" w:color="auto" w:fill="E6E6E6"/>
    </w:rPr>
  </w:style>
  <w:style w:type="table" w:customStyle="1" w:styleId="TableGrid41">
    <w:name w:val="Table Grid41"/>
    <w:basedOn w:val="TableNormal"/>
    <w:uiPriority w:val="39"/>
    <w:rsid w:val="00E9498A"/>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E9498A"/>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2A2FC7"/>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4F2C54"/>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878477">
      <w:bodyDiv w:val="1"/>
      <w:marLeft w:val="0"/>
      <w:marRight w:val="0"/>
      <w:marTop w:val="0"/>
      <w:marBottom w:val="0"/>
      <w:divBdr>
        <w:top w:val="none" w:sz="0" w:space="0" w:color="auto"/>
        <w:left w:val="none" w:sz="0" w:space="0" w:color="auto"/>
        <w:bottom w:val="none" w:sz="0" w:space="0" w:color="auto"/>
        <w:right w:val="none" w:sz="0" w:space="0" w:color="auto"/>
      </w:divBdr>
    </w:div>
    <w:div w:id="921573066">
      <w:bodyDiv w:val="1"/>
      <w:marLeft w:val="0"/>
      <w:marRight w:val="0"/>
      <w:marTop w:val="0"/>
      <w:marBottom w:val="0"/>
      <w:divBdr>
        <w:top w:val="none" w:sz="0" w:space="0" w:color="auto"/>
        <w:left w:val="none" w:sz="0" w:space="0" w:color="auto"/>
        <w:bottom w:val="none" w:sz="0" w:space="0" w:color="auto"/>
        <w:right w:val="none" w:sz="0" w:space="0" w:color="auto"/>
      </w:divBdr>
    </w:div>
    <w:div w:id="1132597735">
      <w:bodyDiv w:val="1"/>
      <w:marLeft w:val="0"/>
      <w:marRight w:val="0"/>
      <w:marTop w:val="0"/>
      <w:marBottom w:val="0"/>
      <w:divBdr>
        <w:top w:val="none" w:sz="0" w:space="0" w:color="auto"/>
        <w:left w:val="none" w:sz="0" w:space="0" w:color="auto"/>
        <w:bottom w:val="none" w:sz="0" w:space="0" w:color="auto"/>
        <w:right w:val="none" w:sz="0" w:space="0" w:color="auto"/>
      </w:divBdr>
    </w:div>
    <w:div w:id="1466116541">
      <w:bodyDiv w:val="1"/>
      <w:marLeft w:val="0"/>
      <w:marRight w:val="0"/>
      <w:marTop w:val="0"/>
      <w:marBottom w:val="0"/>
      <w:divBdr>
        <w:top w:val="none" w:sz="0" w:space="0" w:color="auto"/>
        <w:left w:val="none" w:sz="0" w:space="0" w:color="auto"/>
        <w:bottom w:val="none" w:sz="0" w:space="0" w:color="auto"/>
        <w:right w:val="none" w:sz="0" w:space="0" w:color="auto"/>
      </w:divBdr>
    </w:div>
    <w:div w:id="1570849217">
      <w:bodyDiv w:val="1"/>
      <w:marLeft w:val="0"/>
      <w:marRight w:val="0"/>
      <w:marTop w:val="0"/>
      <w:marBottom w:val="0"/>
      <w:divBdr>
        <w:top w:val="none" w:sz="0" w:space="0" w:color="auto"/>
        <w:left w:val="none" w:sz="0" w:space="0" w:color="auto"/>
        <w:bottom w:val="none" w:sz="0" w:space="0" w:color="auto"/>
        <w:right w:val="none" w:sz="0" w:space="0" w:color="auto"/>
      </w:divBdr>
      <w:divsChild>
        <w:div w:id="56755184">
          <w:marLeft w:val="0"/>
          <w:marRight w:val="0"/>
          <w:marTop w:val="0"/>
          <w:marBottom w:val="0"/>
          <w:divBdr>
            <w:top w:val="none" w:sz="0" w:space="0" w:color="auto"/>
            <w:left w:val="none" w:sz="0" w:space="0" w:color="auto"/>
            <w:bottom w:val="none" w:sz="0" w:space="0" w:color="auto"/>
            <w:right w:val="none" w:sz="0" w:space="0" w:color="auto"/>
          </w:divBdr>
        </w:div>
        <w:div w:id="82721750">
          <w:marLeft w:val="0"/>
          <w:marRight w:val="0"/>
          <w:marTop w:val="0"/>
          <w:marBottom w:val="0"/>
          <w:divBdr>
            <w:top w:val="none" w:sz="0" w:space="0" w:color="auto"/>
            <w:left w:val="none" w:sz="0" w:space="0" w:color="auto"/>
            <w:bottom w:val="none" w:sz="0" w:space="0" w:color="auto"/>
            <w:right w:val="none" w:sz="0" w:space="0" w:color="auto"/>
          </w:divBdr>
        </w:div>
        <w:div w:id="231239493">
          <w:marLeft w:val="0"/>
          <w:marRight w:val="0"/>
          <w:marTop w:val="0"/>
          <w:marBottom w:val="0"/>
          <w:divBdr>
            <w:top w:val="none" w:sz="0" w:space="0" w:color="auto"/>
            <w:left w:val="none" w:sz="0" w:space="0" w:color="auto"/>
            <w:bottom w:val="none" w:sz="0" w:space="0" w:color="auto"/>
            <w:right w:val="none" w:sz="0" w:space="0" w:color="auto"/>
          </w:divBdr>
        </w:div>
        <w:div w:id="1129326390">
          <w:marLeft w:val="0"/>
          <w:marRight w:val="0"/>
          <w:marTop w:val="0"/>
          <w:marBottom w:val="0"/>
          <w:divBdr>
            <w:top w:val="none" w:sz="0" w:space="0" w:color="auto"/>
            <w:left w:val="none" w:sz="0" w:space="0" w:color="auto"/>
            <w:bottom w:val="none" w:sz="0" w:space="0" w:color="auto"/>
            <w:right w:val="none" w:sz="0" w:space="0" w:color="auto"/>
          </w:divBdr>
        </w:div>
      </w:divsChild>
    </w:div>
    <w:div w:id="1684043609">
      <w:bodyDiv w:val="1"/>
      <w:marLeft w:val="0"/>
      <w:marRight w:val="0"/>
      <w:marTop w:val="0"/>
      <w:marBottom w:val="0"/>
      <w:divBdr>
        <w:top w:val="none" w:sz="0" w:space="0" w:color="auto"/>
        <w:left w:val="none" w:sz="0" w:space="0" w:color="auto"/>
        <w:bottom w:val="none" w:sz="0" w:space="0" w:color="auto"/>
        <w:right w:val="none" w:sz="0" w:space="0" w:color="auto"/>
      </w:divBdr>
      <w:divsChild>
        <w:div w:id="249311408">
          <w:marLeft w:val="0"/>
          <w:marRight w:val="0"/>
          <w:marTop w:val="0"/>
          <w:marBottom w:val="0"/>
          <w:divBdr>
            <w:top w:val="none" w:sz="0" w:space="0" w:color="auto"/>
            <w:left w:val="none" w:sz="0" w:space="0" w:color="auto"/>
            <w:bottom w:val="none" w:sz="0" w:space="0" w:color="auto"/>
            <w:right w:val="none" w:sz="0" w:space="0" w:color="auto"/>
          </w:divBdr>
        </w:div>
        <w:div w:id="2030176399">
          <w:marLeft w:val="0"/>
          <w:marRight w:val="0"/>
          <w:marTop w:val="0"/>
          <w:marBottom w:val="0"/>
          <w:divBdr>
            <w:top w:val="none" w:sz="0" w:space="0" w:color="auto"/>
            <w:left w:val="none" w:sz="0" w:space="0" w:color="auto"/>
            <w:bottom w:val="none" w:sz="0" w:space="0" w:color="auto"/>
            <w:right w:val="none" w:sz="0" w:space="0" w:color="auto"/>
          </w:divBdr>
        </w:div>
      </w:divsChild>
    </w:div>
    <w:div w:id="1924482973">
      <w:bodyDiv w:val="1"/>
      <w:marLeft w:val="0"/>
      <w:marRight w:val="0"/>
      <w:marTop w:val="0"/>
      <w:marBottom w:val="0"/>
      <w:divBdr>
        <w:top w:val="none" w:sz="0" w:space="0" w:color="auto"/>
        <w:left w:val="none" w:sz="0" w:space="0" w:color="auto"/>
        <w:bottom w:val="none" w:sz="0" w:space="0" w:color="auto"/>
        <w:right w:val="none" w:sz="0" w:space="0" w:color="auto"/>
      </w:divBdr>
    </w:div>
    <w:div w:id="2023238536">
      <w:bodyDiv w:val="1"/>
      <w:marLeft w:val="0"/>
      <w:marRight w:val="0"/>
      <w:marTop w:val="0"/>
      <w:marBottom w:val="0"/>
      <w:divBdr>
        <w:top w:val="none" w:sz="0" w:space="0" w:color="auto"/>
        <w:left w:val="none" w:sz="0" w:space="0" w:color="auto"/>
        <w:bottom w:val="none" w:sz="0" w:space="0" w:color="auto"/>
        <w:right w:val="none" w:sz="0" w:space="0" w:color="auto"/>
      </w:divBdr>
      <w:divsChild>
        <w:div w:id="189298725">
          <w:marLeft w:val="0"/>
          <w:marRight w:val="0"/>
          <w:marTop w:val="0"/>
          <w:marBottom w:val="0"/>
          <w:divBdr>
            <w:top w:val="none" w:sz="0" w:space="0" w:color="auto"/>
            <w:left w:val="none" w:sz="0" w:space="0" w:color="auto"/>
            <w:bottom w:val="none" w:sz="0" w:space="0" w:color="auto"/>
            <w:right w:val="none" w:sz="0" w:space="0" w:color="auto"/>
          </w:divBdr>
        </w:div>
        <w:div w:id="1130980438">
          <w:marLeft w:val="0"/>
          <w:marRight w:val="0"/>
          <w:marTop w:val="0"/>
          <w:marBottom w:val="0"/>
          <w:divBdr>
            <w:top w:val="none" w:sz="0" w:space="0" w:color="auto"/>
            <w:left w:val="none" w:sz="0" w:space="0" w:color="auto"/>
            <w:bottom w:val="none" w:sz="0" w:space="0" w:color="auto"/>
            <w:right w:val="none" w:sz="0" w:space="0" w:color="auto"/>
          </w:divBdr>
        </w:div>
        <w:div w:id="1557274552">
          <w:marLeft w:val="0"/>
          <w:marRight w:val="0"/>
          <w:marTop w:val="0"/>
          <w:marBottom w:val="0"/>
          <w:divBdr>
            <w:top w:val="none" w:sz="0" w:space="0" w:color="auto"/>
            <w:left w:val="none" w:sz="0" w:space="0" w:color="auto"/>
            <w:bottom w:val="none" w:sz="0" w:space="0" w:color="auto"/>
            <w:right w:val="none" w:sz="0" w:space="0" w:color="auto"/>
          </w:divBdr>
        </w:div>
        <w:div w:id="2037997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eribrahiem@gmail.com"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pa.gov/tri/tridata/tri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epaprgs.ornl.gov/chemicals/index.shtml" TargetMode="External"/><Relationship Id="rId10" Type="http://schemas.openxmlformats.org/officeDocument/2006/relationships/image" Target="media/image2.tif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ustafa.jamalakbar77@gmail.com" TargetMode="External"/><Relationship Id="rId14" Type="http://schemas.openxmlformats.org/officeDocument/2006/relationships/hyperlink" Target="https://www.epa.gov/risk/regional-screening-levels-rsls-generic-tables-june-2017"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9FA8588-EC0B-412A-9490-5C5885C8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20172</TotalTime>
  <Pages>14</Pages>
  <Words>5995</Words>
  <Characters>34173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905</cp:revision>
  <cp:lastPrinted>2017-12-20T18:43:00Z</cp:lastPrinted>
  <dcterms:created xsi:type="dcterms:W3CDTF">2017-01-15T15:50:00Z</dcterms:created>
  <dcterms:modified xsi:type="dcterms:W3CDTF">2017-12-24T12:12:00Z</dcterms:modified>
</cp:coreProperties>
</file>